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insoku/>
        <w:wordWrap/>
        <w:overflowPunct/>
        <w:topLinePunct w:val="0"/>
        <w:bidi w:val="0"/>
        <w:spacing w:line="360" w:lineRule="auto"/>
        <w:ind w:firstLine="404"/>
        <w:jc w:val="center"/>
        <w:rPr>
          <w:rFonts w:hint="default" w:ascii="宋体" w:hAnsi="宋体" w:eastAsia="宋体" w:cs="宋体"/>
          <w:color w:val="auto"/>
          <w:highlight w:val="none"/>
          <w:lang w:val="en-US" w:eastAsia="zh-CN"/>
        </w:rPr>
      </w:pPr>
      <w:bookmarkStart w:id="0" w:name="EB9311fcf2bfe74b208a84188ed877e18e"/>
      <w:bookmarkEnd w:id="0"/>
      <w:r>
        <w:rPr>
          <w:rFonts w:hint="eastAsia" w:ascii="宋体" w:hAnsi="宋体" w:cs="宋体"/>
          <w:color w:val="auto"/>
          <w:highlight w:val="none"/>
          <w:lang w:val="en-US" w:eastAsia="zh-CN"/>
        </w:rPr>
        <w:t xml:space="preserve">                                  </w:t>
      </w:r>
    </w:p>
    <w:p>
      <w:pPr>
        <w:kinsoku/>
        <w:wordWrap/>
        <w:overflowPunct/>
        <w:topLinePunct w:val="0"/>
        <w:bidi w:val="0"/>
        <w:spacing w:line="360" w:lineRule="auto"/>
        <w:jc w:val="center"/>
        <w:rPr>
          <w:rFonts w:hint="eastAsia" w:ascii="宋体" w:hAnsi="宋体" w:cs="宋体"/>
          <w:b/>
          <w:color w:val="auto"/>
          <w:kern w:val="2"/>
          <w:sz w:val="48"/>
          <w:szCs w:val="56"/>
          <w:highlight w:val="none"/>
          <w:lang w:val="en-US" w:eastAsia="zh-CN" w:bidi="ar-SA"/>
        </w:rPr>
      </w:pPr>
      <w:r>
        <w:rPr>
          <w:rFonts w:hint="eastAsia" w:ascii="宋体" w:hAnsi="宋体" w:cs="宋体"/>
          <w:b/>
          <w:color w:val="auto"/>
          <w:kern w:val="2"/>
          <w:sz w:val="48"/>
          <w:szCs w:val="56"/>
          <w:highlight w:val="none"/>
          <w:lang w:val="en-US" w:eastAsia="zh-CN" w:bidi="ar-SA"/>
        </w:rPr>
        <w:t>姚家港化工特勤消防站项目监理</w:t>
      </w:r>
    </w:p>
    <w:p>
      <w:pPr>
        <w:kinsoku/>
        <w:wordWrap/>
        <w:overflowPunct/>
        <w:topLinePunct w:val="0"/>
        <w:bidi w:val="0"/>
        <w:spacing w:line="360" w:lineRule="auto"/>
        <w:jc w:val="center"/>
        <w:rPr>
          <w:rFonts w:hint="eastAsia" w:ascii="宋体" w:hAnsi="宋体" w:eastAsia="宋体" w:cs="宋体"/>
          <w:b/>
          <w:color w:val="auto"/>
          <w:kern w:val="2"/>
          <w:sz w:val="52"/>
          <w:szCs w:val="72"/>
          <w:highlight w:val="none"/>
          <w:lang w:val="en-US" w:eastAsia="zh-CN" w:bidi="ar-SA"/>
        </w:rPr>
      </w:pPr>
      <w:r>
        <w:rPr>
          <w:rFonts w:hint="eastAsia" w:ascii="宋体" w:hAnsi="宋体" w:cs="宋体"/>
          <w:b/>
          <w:color w:val="auto"/>
          <w:kern w:val="2"/>
          <w:sz w:val="48"/>
          <w:szCs w:val="56"/>
          <w:highlight w:val="none"/>
          <w:lang w:val="en-US" w:eastAsia="zh-CN" w:bidi="ar-SA"/>
        </w:rPr>
        <w:t>单位采购</w:t>
      </w:r>
      <w:bookmarkStart w:id="191" w:name="_GoBack"/>
      <w:bookmarkEnd w:id="191"/>
    </w:p>
    <w:p>
      <w:pPr>
        <w:kinsoku/>
        <w:wordWrap/>
        <w:overflowPunct/>
        <w:topLinePunct w:val="0"/>
        <w:bidi w:val="0"/>
        <w:spacing w:line="360" w:lineRule="auto"/>
        <w:jc w:val="both"/>
        <w:rPr>
          <w:rFonts w:hint="default" w:ascii="宋体" w:hAnsi="宋体" w:eastAsia="宋体" w:cs="宋体"/>
          <w:b/>
          <w:bCs/>
          <w:color w:val="auto"/>
          <w:sz w:val="120"/>
          <w:highlight w:val="none"/>
          <w:lang w:val="en-US" w:eastAsia="zh-CN"/>
        </w:rPr>
      </w:pPr>
    </w:p>
    <w:p>
      <w:pPr>
        <w:pStyle w:val="9"/>
        <w:rPr>
          <w:rFonts w:hint="default"/>
          <w:color w:val="auto"/>
          <w:highlight w:val="none"/>
          <w:lang w:val="en-US" w:eastAsia="zh-CN"/>
        </w:rPr>
      </w:pPr>
    </w:p>
    <w:p>
      <w:pPr>
        <w:kinsoku/>
        <w:wordWrap/>
        <w:overflowPunct/>
        <w:topLinePunct w:val="0"/>
        <w:bidi w:val="0"/>
        <w:spacing w:line="360" w:lineRule="auto"/>
        <w:jc w:val="center"/>
        <w:rPr>
          <w:rFonts w:hint="eastAsia" w:ascii="宋体" w:hAnsi="宋体" w:eastAsia="宋体" w:cs="宋体"/>
          <w:b/>
          <w:bCs/>
          <w:color w:val="auto"/>
          <w:sz w:val="96"/>
          <w:szCs w:val="120"/>
          <w:highlight w:val="none"/>
        </w:rPr>
      </w:pPr>
      <w:r>
        <w:rPr>
          <w:rFonts w:hint="eastAsia" w:ascii="宋体" w:hAnsi="宋体" w:eastAsia="宋体" w:cs="宋体"/>
          <w:b/>
          <w:bCs/>
          <w:color w:val="auto"/>
          <w:sz w:val="96"/>
          <w:szCs w:val="120"/>
          <w:highlight w:val="none"/>
        </w:rPr>
        <w:t>竞争性磋商文件</w:t>
      </w:r>
    </w:p>
    <w:p>
      <w:pPr>
        <w:kinsoku/>
        <w:wordWrap/>
        <w:overflowPunct/>
        <w:topLinePunct w:val="0"/>
        <w:bidi w:val="0"/>
        <w:spacing w:line="360" w:lineRule="auto"/>
        <w:rPr>
          <w:rFonts w:hint="eastAsia" w:ascii="宋体" w:hAnsi="宋体" w:eastAsia="宋体" w:cs="宋体"/>
          <w:color w:val="auto"/>
          <w:highlight w:val="none"/>
        </w:rPr>
      </w:pPr>
    </w:p>
    <w:p>
      <w:pPr>
        <w:kinsoku/>
        <w:wordWrap/>
        <w:overflowPunct/>
        <w:topLinePunct w:val="0"/>
        <w:bidi w:val="0"/>
        <w:spacing w:line="360" w:lineRule="auto"/>
        <w:rPr>
          <w:rFonts w:hint="eastAsia" w:ascii="宋体" w:hAnsi="宋体" w:eastAsia="宋体" w:cs="宋体"/>
          <w:color w:val="auto"/>
          <w:highlight w:val="none"/>
        </w:rPr>
      </w:pPr>
    </w:p>
    <w:tbl>
      <w:tblPr>
        <w:tblStyle w:val="17"/>
        <w:tblW w:w="8031" w:type="dxa"/>
        <w:tblInd w:w="0" w:type="dxa"/>
        <w:tblLayout w:type="fixed"/>
        <w:tblCellMar>
          <w:top w:w="0" w:type="dxa"/>
          <w:left w:w="108" w:type="dxa"/>
          <w:bottom w:w="0" w:type="dxa"/>
          <w:right w:w="108" w:type="dxa"/>
        </w:tblCellMar>
      </w:tblPr>
      <w:tblGrid>
        <w:gridCol w:w="3085"/>
        <w:gridCol w:w="4946"/>
      </w:tblGrid>
      <w:tr>
        <w:tblPrEx>
          <w:tblCellMar>
            <w:top w:w="0" w:type="dxa"/>
            <w:left w:w="108" w:type="dxa"/>
            <w:bottom w:w="0" w:type="dxa"/>
            <w:right w:w="108" w:type="dxa"/>
          </w:tblCellMar>
        </w:tblPrEx>
        <w:tc>
          <w:tcPr>
            <w:tcW w:w="3085" w:type="dxa"/>
            <w:tcBorders>
              <w:top w:val="nil"/>
              <w:left w:val="nil"/>
              <w:bottom w:val="nil"/>
              <w:right w:val="nil"/>
            </w:tcBorders>
            <w:noWrap w:val="0"/>
            <w:vAlign w:val="top"/>
          </w:tcPr>
          <w:p>
            <w:pPr>
              <w:kinsoku/>
              <w:wordWrap/>
              <w:overflowPunct/>
              <w:topLinePunct w:val="0"/>
              <w:bidi w:val="0"/>
              <w:spacing w:line="360" w:lineRule="auto"/>
              <w:jc w:val="right"/>
              <w:rPr>
                <w:rFonts w:hint="eastAsia" w:ascii="宋体" w:hAnsi="宋体" w:eastAsia="宋体" w:cs="宋体"/>
                <w:color w:val="auto"/>
                <w:highlight w:val="none"/>
              </w:rPr>
            </w:pPr>
            <w:r>
              <w:rPr>
                <w:rFonts w:hint="eastAsia" w:ascii="宋体" w:hAnsi="宋体" w:eastAsia="宋体" w:cs="宋体"/>
                <w:b/>
                <w:bCs/>
                <w:color w:val="auto"/>
                <w:sz w:val="44"/>
                <w:szCs w:val="44"/>
                <w:highlight w:val="none"/>
              </w:rPr>
              <w:t>项目编号：</w:t>
            </w:r>
          </w:p>
        </w:tc>
        <w:tc>
          <w:tcPr>
            <w:tcW w:w="4946" w:type="dxa"/>
            <w:tcBorders>
              <w:top w:val="nil"/>
              <w:left w:val="nil"/>
              <w:bottom w:val="nil"/>
              <w:right w:val="nil"/>
            </w:tcBorders>
            <w:noWrap w:val="0"/>
            <w:vAlign w:val="top"/>
          </w:tcPr>
          <w:p>
            <w:pPr>
              <w:kinsoku/>
              <w:wordWrap/>
              <w:overflowPunct/>
              <w:topLinePunct w:val="0"/>
              <w:bidi w:val="0"/>
              <w:spacing w:line="360" w:lineRule="auto"/>
              <w:ind w:right="-218" w:rightChars="-91"/>
              <w:rPr>
                <w:rFonts w:hint="default" w:ascii="宋体" w:hAnsi="宋体" w:eastAsia="宋体" w:cs="宋体"/>
                <w:b/>
                <w:color w:val="auto"/>
                <w:sz w:val="44"/>
                <w:szCs w:val="44"/>
                <w:highlight w:val="none"/>
                <w:lang w:val="en-US" w:eastAsia="zh-CN"/>
              </w:rPr>
            </w:pPr>
            <w:r>
              <w:rPr>
                <w:rFonts w:hint="eastAsia" w:ascii="宋体" w:hAnsi="宋体" w:cs="宋体"/>
                <w:b/>
                <w:color w:val="auto"/>
                <w:sz w:val="44"/>
                <w:szCs w:val="44"/>
                <w:highlight w:val="none"/>
                <w:lang w:val="en-US" w:eastAsia="zh-CN"/>
              </w:rPr>
              <w:t>hbyjg2023-z071</w:t>
            </w:r>
          </w:p>
        </w:tc>
      </w:tr>
    </w:tbl>
    <w:p>
      <w:pPr>
        <w:kinsoku/>
        <w:wordWrap/>
        <w:overflowPunct/>
        <w:topLinePunct w:val="0"/>
        <w:bidi w:val="0"/>
        <w:spacing w:line="360" w:lineRule="auto"/>
        <w:ind w:firstLine="566"/>
        <w:rPr>
          <w:rFonts w:hint="eastAsia" w:ascii="宋体" w:hAnsi="宋体" w:eastAsia="宋体" w:cs="宋体"/>
          <w:color w:val="auto"/>
          <w:highlight w:val="none"/>
        </w:rPr>
      </w:pPr>
    </w:p>
    <w:p>
      <w:pPr>
        <w:kinsoku/>
        <w:wordWrap/>
        <w:overflowPunct/>
        <w:topLinePunct w:val="0"/>
        <w:bidi w:val="0"/>
        <w:spacing w:line="360" w:lineRule="auto"/>
        <w:rPr>
          <w:rFonts w:hint="eastAsia" w:ascii="宋体" w:hAnsi="宋体" w:eastAsia="宋体" w:cs="宋体"/>
          <w:vanish/>
          <w:color w:val="auto"/>
          <w:highlight w:val="none"/>
        </w:rPr>
      </w:pPr>
    </w:p>
    <w:p>
      <w:pPr>
        <w:kinsoku/>
        <w:wordWrap/>
        <w:overflowPunct/>
        <w:topLinePunct w:val="0"/>
        <w:bidi w:val="0"/>
        <w:spacing w:line="360" w:lineRule="auto"/>
        <w:rPr>
          <w:rFonts w:hint="eastAsia" w:ascii="宋体" w:hAnsi="宋体" w:eastAsia="宋体" w:cs="宋体"/>
          <w:color w:val="auto"/>
          <w:highlight w:val="none"/>
        </w:rPr>
      </w:pPr>
    </w:p>
    <w:p>
      <w:pPr>
        <w:kinsoku/>
        <w:wordWrap/>
        <w:overflowPunct/>
        <w:topLinePunct w:val="0"/>
        <w:bidi w:val="0"/>
        <w:spacing w:line="360" w:lineRule="auto"/>
        <w:ind w:firstLine="566"/>
        <w:rPr>
          <w:rFonts w:hint="eastAsia" w:ascii="宋体" w:hAnsi="宋体" w:eastAsia="宋体" w:cs="宋体"/>
          <w:color w:val="auto"/>
          <w:highlight w:val="none"/>
        </w:rPr>
      </w:pPr>
    </w:p>
    <w:p>
      <w:pPr>
        <w:pStyle w:val="9"/>
        <w:rPr>
          <w:rFonts w:hint="eastAsia"/>
          <w:color w:val="auto"/>
          <w:highlight w:val="none"/>
        </w:rPr>
      </w:pPr>
    </w:p>
    <w:p>
      <w:pPr>
        <w:kinsoku/>
        <w:wordWrap/>
        <w:overflowPunct/>
        <w:topLinePunct w:val="0"/>
        <w:bidi w:val="0"/>
        <w:spacing w:line="360" w:lineRule="auto"/>
        <w:rPr>
          <w:rFonts w:hint="eastAsia" w:ascii="宋体" w:hAnsi="宋体" w:eastAsia="宋体" w:cs="宋体"/>
          <w:color w:val="auto"/>
          <w:highlight w:val="none"/>
        </w:rPr>
      </w:pPr>
    </w:p>
    <w:p>
      <w:pPr>
        <w:kinsoku/>
        <w:wordWrap/>
        <w:overflowPunct/>
        <w:topLinePunct w:val="0"/>
        <w:bidi w:val="0"/>
        <w:spacing w:line="360" w:lineRule="auto"/>
        <w:jc w:val="center"/>
        <w:rPr>
          <w:rFonts w:hint="eastAsia" w:ascii="宋体" w:hAnsi="宋体" w:eastAsia="宋体" w:cs="宋体"/>
          <w:b/>
          <w:color w:val="auto"/>
          <w:sz w:val="32"/>
          <w:szCs w:val="32"/>
          <w:highlight w:val="none"/>
          <w:lang w:eastAsia="zh-CN"/>
        </w:rPr>
      </w:pPr>
      <w:bookmarkStart w:id="1" w:name="EB6855f4ddeec348d4a5195b2a32b7b353"/>
      <w:r>
        <w:rPr>
          <w:rFonts w:hint="eastAsia" w:ascii="宋体" w:hAnsi="宋体" w:cs="宋体"/>
          <w:b/>
          <w:color w:val="auto"/>
          <w:sz w:val="32"/>
          <w:szCs w:val="32"/>
          <w:highlight w:val="none"/>
          <w:lang w:val="en-US" w:eastAsia="zh-CN"/>
        </w:rPr>
        <w:t xml:space="preserve">  </w:t>
      </w:r>
      <w:r>
        <w:rPr>
          <w:rFonts w:hint="eastAsia" w:ascii="宋体" w:hAnsi="宋体" w:eastAsia="宋体" w:cs="宋体"/>
          <w:b/>
          <w:color w:val="auto"/>
          <w:sz w:val="32"/>
          <w:szCs w:val="32"/>
          <w:highlight w:val="none"/>
        </w:rPr>
        <w:t>采购人：湖北姚家港绿色化工投资控股集团有限公司</w:t>
      </w:r>
    </w:p>
    <w:p>
      <w:pPr>
        <w:kinsoku/>
        <w:wordWrap/>
        <w:overflowPunct/>
        <w:topLinePunct w:val="0"/>
        <w:bidi w:val="0"/>
        <w:spacing w:line="360" w:lineRule="auto"/>
        <w:ind w:firstLine="643" w:firstLineChars="200"/>
        <w:jc w:val="both"/>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rPr>
        <w:t>采购</w:t>
      </w:r>
      <w:r>
        <w:rPr>
          <w:rFonts w:hint="eastAsia" w:ascii="宋体" w:hAnsi="宋体" w:eastAsia="宋体" w:cs="宋体"/>
          <w:b/>
          <w:color w:val="auto"/>
          <w:sz w:val="32"/>
          <w:szCs w:val="32"/>
          <w:highlight w:val="none"/>
          <w:lang w:eastAsia="zh-CN"/>
        </w:rPr>
        <w:t>代理</w:t>
      </w:r>
      <w:r>
        <w:rPr>
          <w:rFonts w:hint="eastAsia" w:ascii="宋体" w:hAnsi="宋体" w:eastAsia="宋体" w:cs="宋体"/>
          <w:b/>
          <w:color w:val="auto"/>
          <w:sz w:val="32"/>
          <w:szCs w:val="32"/>
          <w:highlight w:val="none"/>
        </w:rPr>
        <w:t>机构：</w:t>
      </w:r>
      <w:r>
        <w:rPr>
          <w:rFonts w:hint="eastAsia" w:ascii="宋体" w:hAnsi="宋体" w:cs="宋体"/>
          <w:b/>
          <w:color w:val="auto"/>
          <w:sz w:val="32"/>
          <w:szCs w:val="32"/>
          <w:highlight w:val="none"/>
          <w:lang w:eastAsia="zh-CN"/>
        </w:rPr>
        <w:t>湖北众恒永业工程项目管理有限公司</w:t>
      </w:r>
    </w:p>
    <w:bookmarkEnd w:id="1"/>
    <w:p>
      <w:pPr>
        <w:kinsoku/>
        <w:wordWrap/>
        <w:overflowPunct/>
        <w:topLinePunct w:val="0"/>
        <w:bidi w:val="0"/>
        <w:spacing w:line="360" w:lineRule="auto"/>
        <w:jc w:val="center"/>
        <w:rPr>
          <w:rFonts w:hint="eastAsia" w:ascii="宋体" w:hAnsi="宋体" w:eastAsia="宋体" w:cs="宋体"/>
          <w:b/>
          <w:color w:val="auto"/>
          <w:sz w:val="44"/>
          <w:szCs w:val="44"/>
          <w:highlight w:val="none"/>
          <w:lang w:eastAsia="zh-CN"/>
        </w:rPr>
      </w:pPr>
      <w:r>
        <w:rPr>
          <w:rFonts w:hint="eastAsia" w:ascii="宋体" w:hAnsi="宋体" w:cs="宋体"/>
          <w:b/>
          <w:color w:val="auto"/>
          <w:sz w:val="44"/>
          <w:szCs w:val="44"/>
          <w:highlight w:val="none"/>
          <w:lang w:eastAsia="zh-CN"/>
        </w:rPr>
        <w:t>202</w:t>
      </w:r>
      <w:r>
        <w:rPr>
          <w:rFonts w:hint="eastAsia" w:ascii="宋体" w:hAnsi="宋体" w:cs="宋体"/>
          <w:b/>
          <w:color w:val="auto"/>
          <w:sz w:val="44"/>
          <w:szCs w:val="44"/>
          <w:highlight w:val="none"/>
          <w:lang w:val="en-US" w:eastAsia="zh-CN"/>
        </w:rPr>
        <w:t>3</w:t>
      </w:r>
      <w:r>
        <w:rPr>
          <w:rFonts w:hint="eastAsia" w:ascii="宋体" w:hAnsi="宋体" w:cs="宋体"/>
          <w:b/>
          <w:color w:val="auto"/>
          <w:sz w:val="44"/>
          <w:szCs w:val="44"/>
          <w:highlight w:val="none"/>
          <w:lang w:eastAsia="zh-CN"/>
        </w:rPr>
        <w:t>年</w:t>
      </w:r>
      <w:r>
        <w:rPr>
          <w:rFonts w:hint="eastAsia" w:ascii="宋体" w:hAnsi="宋体" w:cs="宋体"/>
          <w:b/>
          <w:color w:val="auto"/>
          <w:sz w:val="44"/>
          <w:szCs w:val="44"/>
          <w:highlight w:val="none"/>
          <w:lang w:val="en-US" w:eastAsia="zh-CN"/>
        </w:rPr>
        <w:t>9</w:t>
      </w:r>
      <w:r>
        <w:rPr>
          <w:rFonts w:hint="eastAsia" w:ascii="宋体" w:hAnsi="宋体" w:cs="宋体"/>
          <w:b/>
          <w:color w:val="auto"/>
          <w:sz w:val="44"/>
          <w:szCs w:val="44"/>
          <w:highlight w:val="none"/>
          <w:lang w:eastAsia="zh-CN"/>
        </w:rPr>
        <w:t>月</w:t>
      </w:r>
    </w:p>
    <w:p>
      <w:pPr>
        <w:kinsoku/>
        <w:wordWrap/>
        <w:overflowPunct/>
        <w:topLinePunct w:val="0"/>
        <w:bidi w:val="0"/>
        <w:spacing w:line="360" w:lineRule="auto"/>
        <w:rPr>
          <w:rFonts w:hint="eastAsia" w:ascii="宋体" w:hAnsi="宋体" w:eastAsia="宋体" w:cs="宋体"/>
          <w:b/>
          <w:color w:val="auto"/>
          <w:sz w:val="28"/>
          <w:szCs w:val="28"/>
          <w:highlight w:val="none"/>
        </w:rPr>
        <w:sectPr>
          <w:pgSz w:w="11906" w:h="16838"/>
          <w:pgMar w:top="1440" w:right="1797" w:bottom="1440" w:left="1797" w:header="851" w:footer="992" w:gutter="0"/>
          <w:pgNumType w:fmt="decimal" w:start="1"/>
          <w:cols w:space="720" w:num="1"/>
          <w:docGrid w:linePitch="312" w:charSpace="0"/>
        </w:sectPr>
      </w:pPr>
    </w:p>
    <w:p>
      <w:pP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br w:type="page"/>
      </w:r>
    </w:p>
    <w:p>
      <w:pPr>
        <w:kinsoku/>
        <w:wordWrap/>
        <w:overflowPunct/>
        <w:topLinePunct w:val="0"/>
        <w:bidi w:val="0"/>
        <w:spacing w:line="360" w:lineRule="auto"/>
        <w:jc w:val="center"/>
        <w:rPr>
          <w:rFonts w:hint="eastAsia" w:ascii="宋体" w:hAnsi="宋体" w:eastAsia="宋体" w:cs="宋体"/>
          <w:color w:val="auto"/>
          <w:sz w:val="40"/>
          <w:szCs w:val="36"/>
          <w:highlight w:val="none"/>
        </w:rPr>
      </w:pPr>
      <w:r>
        <w:rPr>
          <w:rFonts w:hint="eastAsia" w:ascii="宋体" w:hAnsi="宋体" w:eastAsia="宋体" w:cs="宋体"/>
          <w:b/>
          <w:color w:val="auto"/>
          <w:sz w:val="44"/>
          <w:szCs w:val="44"/>
          <w:highlight w:val="none"/>
        </w:rPr>
        <w:t>目     录</w:t>
      </w:r>
    </w:p>
    <w:p>
      <w:pPr>
        <w:pStyle w:val="14"/>
        <w:tabs>
          <w:tab w:val="right" w:leader="dot" w:pos="8312"/>
        </w:tabs>
        <w:rPr>
          <w:color w:val="auto"/>
        </w:rPr>
      </w:pPr>
      <w:r>
        <w:rPr>
          <w:rFonts w:hint="eastAsia" w:ascii="宋体" w:hAnsi="宋体" w:eastAsia="宋体" w:cs="宋体"/>
          <w:b w:val="0"/>
          <w:bCs/>
          <w:color w:val="auto"/>
          <w:highlight w:val="none"/>
        </w:rPr>
        <w:fldChar w:fldCharType="begin"/>
      </w:r>
      <w:r>
        <w:rPr>
          <w:rFonts w:hint="eastAsia" w:ascii="宋体" w:hAnsi="宋体" w:eastAsia="宋体" w:cs="宋体"/>
          <w:b w:val="0"/>
          <w:bCs/>
          <w:color w:val="auto"/>
          <w:highlight w:val="none"/>
        </w:rPr>
        <w:instrText xml:space="preserve">TOC \o "1-3" \h \u </w:instrText>
      </w:r>
      <w:r>
        <w:rPr>
          <w:rFonts w:hint="eastAsia" w:ascii="宋体" w:hAnsi="宋体" w:eastAsia="宋体" w:cs="宋体"/>
          <w:b w:val="0"/>
          <w:bCs/>
          <w:color w:val="auto"/>
          <w:highlight w:val="none"/>
        </w:rPr>
        <w:fldChar w:fldCharType="separate"/>
      </w:r>
      <w:r>
        <w:rPr>
          <w:rFonts w:hint="eastAsia" w:ascii="宋体" w:hAnsi="宋体" w:eastAsia="宋体" w:cs="宋体"/>
          <w:bCs/>
          <w:color w:val="auto"/>
          <w:highlight w:val="none"/>
        </w:rPr>
        <w:fldChar w:fldCharType="begin"/>
      </w:r>
      <w:r>
        <w:rPr>
          <w:rFonts w:hint="eastAsia" w:ascii="宋体" w:hAnsi="宋体" w:eastAsia="宋体" w:cs="宋体"/>
          <w:bCs/>
          <w:color w:val="auto"/>
          <w:highlight w:val="none"/>
        </w:rPr>
        <w:instrText xml:space="preserve"> HYPERLINK \l _Toc31524 </w:instrText>
      </w:r>
      <w:r>
        <w:rPr>
          <w:rFonts w:hint="eastAsia" w:ascii="宋体" w:hAnsi="宋体" w:eastAsia="宋体" w:cs="宋体"/>
          <w:bCs/>
          <w:color w:val="auto"/>
          <w:highlight w:val="none"/>
        </w:rPr>
        <w:fldChar w:fldCharType="separate"/>
      </w:r>
      <w:r>
        <w:rPr>
          <w:rFonts w:hint="eastAsia" w:ascii="宋体" w:hAnsi="宋体" w:eastAsia="宋体" w:cs="宋体"/>
          <w:color w:val="auto"/>
          <w:highlight w:val="none"/>
        </w:rPr>
        <w:t>第一章 竞争性磋商公告</w:t>
      </w:r>
      <w:r>
        <w:rPr>
          <w:color w:val="auto"/>
        </w:rPr>
        <w:tab/>
      </w:r>
      <w:r>
        <w:rPr>
          <w:color w:val="auto"/>
        </w:rPr>
        <w:fldChar w:fldCharType="begin"/>
      </w:r>
      <w:r>
        <w:rPr>
          <w:color w:val="auto"/>
        </w:rPr>
        <w:instrText xml:space="preserve"> PAGEREF _Toc31524 \h </w:instrText>
      </w:r>
      <w:r>
        <w:rPr>
          <w:color w:val="auto"/>
        </w:rPr>
        <w:fldChar w:fldCharType="separate"/>
      </w:r>
      <w:r>
        <w:rPr>
          <w:color w:val="auto"/>
        </w:rPr>
        <w:t>3</w:t>
      </w:r>
      <w:r>
        <w:rPr>
          <w:color w:val="auto"/>
        </w:rPr>
        <w:fldChar w:fldCharType="end"/>
      </w:r>
      <w:r>
        <w:rPr>
          <w:rFonts w:hint="eastAsia" w:ascii="宋体" w:hAnsi="宋体" w:eastAsia="宋体" w:cs="宋体"/>
          <w:bCs/>
          <w:color w:val="auto"/>
          <w:highlight w:val="none"/>
        </w:rPr>
        <w:fldChar w:fldCharType="end"/>
      </w:r>
    </w:p>
    <w:p>
      <w:pPr>
        <w:pStyle w:val="14"/>
        <w:tabs>
          <w:tab w:val="right" w:leader="dot" w:pos="8312"/>
        </w:tabs>
        <w:rPr>
          <w:color w:val="auto"/>
        </w:rPr>
      </w:pPr>
      <w:r>
        <w:rPr>
          <w:rFonts w:hint="eastAsia" w:ascii="宋体" w:hAnsi="宋体" w:eastAsia="宋体" w:cs="宋体"/>
          <w:bCs/>
          <w:snapToGrid w:val="0"/>
          <w:color w:val="auto"/>
          <w:kern w:val="0"/>
          <w:highlight w:val="none"/>
        </w:rPr>
        <w:fldChar w:fldCharType="begin"/>
      </w:r>
      <w:r>
        <w:rPr>
          <w:rFonts w:hint="eastAsia" w:ascii="宋体" w:hAnsi="宋体" w:eastAsia="宋体" w:cs="宋体"/>
          <w:bCs/>
          <w:snapToGrid w:val="0"/>
          <w:color w:val="auto"/>
          <w:kern w:val="0"/>
          <w:highlight w:val="none"/>
        </w:rPr>
        <w:instrText xml:space="preserve"> HYPERLINK \l _Toc10123 </w:instrText>
      </w:r>
      <w:r>
        <w:rPr>
          <w:rFonts w:hint="eastAsia" w:ascii="宋体" w:hAnsi="宋体" w:eastAsia="宋体" w:cs="宋体"/>
          <w:bCs/>
          <w:snapToGrid w:val="0"/>
          <w:color w:val="auto"/>
          <w:kern w:val="0"/>
          <w:highlight w:val="none"/>
        </w:rPr>
        <w:fldChar w:fldCharType="separate"/>
      </w:r>
      <w:r>
        <w:rPr>
          <w:rFonts w:hint="eastAsia" w:ascii="宋体" w:hAnsi="宋体" w:eastAsia="宋体" w:cs="宋体"/>
          <w:color w:val="auto"/>
          <w:highlight w:val="none"/>
        </w:rPr>
        <w:t>第二章 供应商须知</w:t>
      </w:r>
      <w:r>
        <w:rPr>
          <w:color w:val="auto"/>
        </w:rPr>
        <w:tab/>
      </w:r>
      <w:r>
        <w:rPr>
          <w:color w:val="auto"/>
        </w:rPr>
        <w:fldChar w:fldCharType="begin"/>
      </w:r>
      <w:r>
        <w:rPr>
          <w:color w:val="auto"/>
        </w:rPr>
        <w:instrText xml:space="preserve"> PAGEREF _Toc10123 \h </w:instrText>
      </w:r>
      <w:r>
        <w:rPr>
          <w:color w:val="auto"/>
        </w:rPr>
        <w:fldChar w:fldCharType="separate"/>
      </w:r>
      <w:r>
        <w:rPr>
          <w:color w:val="auto"/>
        </w:rPr>
        <w:t>6</w:t>
      </w:r>
      <w:r>
        <w:rPr>
          <w:color w:val="auto"/>
        </w:rPr>
        <w:fldChar w:fldCharType="end"/>
      </w:r>
      <w:r>
        <w:rPr>
          <w:rFonts w:hint="eastAsia" w:ascii="宋体" w:hAnsi="宋体" w:eastAsia="宋体" w:cs="宋体"/>
          <w:bCs/>
          <w:snapToGrid w:val="0"/>
          <w:color w:val="auto"/>
          <w:kern w:val="0"/>
          <w:highlight w:val="none"/>
        </w:rPr>
        <w:fldChar w:fldCharType="end"/>
      </w:r>
    </w:p>
    <w:p>
      <w:pPr>
        <w:pStyle w:val="15"/>
        <w:tabs>
          <w:tab w:val="right" w:leader="dot" w:pos="8312"/>
        </w:tabs>
        <w:rPr>
          <w:color w:val="auto"/>
        </w:rPr>
      </w:pPr>
      <w:r>
        <w:rPr>
          <w:rFonts w:hint="eastAsia" w:ascii="宋体" w:hAnsi="宋体" w:eastAsia="宋体" w:cs="宋体"/>
          <w:bCs/>
          <w:snapToGrid w:val="0"/>
          <w:color w:val="auto"/>
          <w:kern w:val="0"/>
          <w:highlight w:val="none"/>
        </w:rPr>
        <w:fldChar w:fldCharType="begin"/>
      </w:r>
      <w:r>
        <w:rPr>
          <w:rFonts w:hint="eastAsia" w:ascii="宋体" w:hAnsi="宋体" w:eastAsia="宋体" w:cs="宋体"/>
          <w:bCs/>
          <w:snapToGrid w:val="0"/>
          <w:color w:val="auto"/>
          <w:kern w:val="0"/>
          <w:highlight w:val="none"/>
        </w:rPr>
        <w:instrText xml:space="preserve"> HYPERLINK \l _Toc26296 </w:instrText>
      </w:r>
      <w:r>
        <w:rPr>
          <w:rFonts w:hint="eastAsia" w:ascii="宋体" w:hAnsi="宋体" w:eastAsia="宋体" w:cs="宋体"/>
          <w:bCs/>
          <w:snapToGrid w:val="0"/>
          <w:color w:val="auto"/>
          <w:kern w:val="0"/>
          <w:highlight w:val="none"/>
        </w:rPr>
        <w:fldChar w:fldCharType="separate"/>
      </w:r>
      <w:r>
        <w:rPr>
          <w:rFonts w:hint="eastAsia" w:ascii="宋体" w:hAnsi="宋体" w:eastAsia="宋体" w:cs="宋体"/>
          <w:color w:val="auto"/>
          <w:highlight w:val="none"/>
        </w:rPr>
        <w:t>一、说  明</w:t>
      </w:r>
      <w:r>
        <w:rPr>
          <w:color w:val="auto"/>
        </w:rPr>
        <w:tab/>
      </w:r>
      <w:r>
        <w:rPr>
          <w:color w:val="auto"/>
        </w:rPr>
        <w:fldChar w:fldCharType="begin"/>
      </w:r>
      <w:r>
        <w:rPr>
          <w:color w:val="auto"/>
        </w:rPr>
        <w:instrText xml:space="preserve"> PAGEREF _Toc26296 \h </w:instrText>
      </w:r>
      <w:r>
        <w:rPr>
          <w:color w:val="auto"/>
        </w:rPr>
        <w:fldChar w:fldCharType="separate"/>
      </w:r>
      <w:r>
        <w:rPr>
          <w:color w:val="auto"/>
        </w:rPr>
        <w:t>8</w:t>
      </w:r>
      <w:r>
        <w:rPr>
          <w:color w:val="auto"/>
        </w:rPr>
        <w:fldChar w:fldCharType="end"/>
      </w:r>
      <w:r>
        <w:rPr>
          <w:rFonts w:hint="eastAsia" w:ascii="宋体" w:hAnsi="宋体" w:eastAsia="宋体" w:cs="宋体"/>
          <w:bCs/>
          <w:snapToGrid w:val="0"/>
          <w:color w:val="auto"/>
          <w:kern w:val="0"/>
          <w:highlight w:val="none"/>
        </w:rPr>
        <w:fldChar w:fldCharType="end"/>
      </w:r>
    </w:p>
    <w:p>
      <w:pPr>
        <w:pStyle w:val="15"/>
        <w:tabs>
          <w:tab w:val="right" w:leader="dot" w:pos="8312"/>
        </w:tabs>
        <w:rPr>
          <w:color w:val="auto"/>
        </w:rPr>
      </w:pPr>
      <w:r>
        <w:rPr>
          <w:rFonts w:hint="eastAsia" w:ascii="宋体" w:hAnsi="宋体" w:eastAsia="宋体" w:cs="宋体"/>
          <w:bCs/>
          <w:snapToGrid w:val="0"/>
          <w:color w:val="auto"/>
          <w:kern w:val="0"/>
          <w:highlight w:val="none"/>
        </w:rPr>
        <w:fldChar w:fldCharType="begin"/>
      </w:r>
      <w:r>
        <w:rPr>
          <w:rFonts w:hint="eastAsia" w:ascii="宋体" w:hAnsi="宋体" w:eastAsia="宋体" w:cs="宋体"/>
          <w:bCs/>
          <w:snapToGrid w:val="0"/>
          <w:color w:val="auto"/>
          <w:kern w:val="0"/>
          <w:highlight w:val="none"/>
        </w:rPr>
        <w:instrText xml:space="preserve"> HYPERLINK \l _Toc24952 </w:instrText>
      </w:r>
      <w:r>
        <w:rPr>
          <w:rFonts w:hint="eastAsia" w:ascii="宋体" w:hAnsi="宋体" w:eastAsia="宋体" w:cs="宋体"/>
          <w:bCs/>
          <w:snapToGrid w:val="0"/>
          <w:color w:val="auto"/>
          <w:kern w:val="0"/>
          <w:highlight w:val="none"/>
        </w:rPr>
        <w:fldChar w:fldCharType="separate"/>
      </w:r>
      <w:r>
        <w:rPr>
          <w:rFonts w:hint="eastAsia" w:ascii="宋体" w:hAnsi="宋体" w:eastAsia="宋体" w:cs="宋体"/>
          <w:color w:val="auto"/>
          <w:highlight w:val="none"/>
        </w:rPr>
        <w:t>二、磋商文件</w:t>
      </w:r>
      <w:r>
        <w:rPr>
          <w:color w:val="auto"/>
        </w:rPr>
        <w:tab/>
      </w:r>
      <w:r>
        <w:rPr>
          <w:color w:val="auto"/>
        </w:rPr>
        <w:fldChar w:fldCharType="begin"/>
      </w:r>
      <w:r>
        <w:rPr>
          <w:color w:val="auto"/>
        </w:rPr>
        <w:instrText xml:space="preserve"> PAGEREF _Toc24952 \h </w:instrText>
      </w:r>
      <w:r>
        <w:rPr>
          <w:color w:val="auto"/>
        </w:rPr>
        <w:fldChar w:fldCharType="separate"/>
      </w:r>
      <w:r>
        <w:rPr>
          <w:color w:val="auto"/>
        </w:rPr>
        <w:t>9</w:t>
      </w:r>
      <w:r>
        <w:rPr>
          <w:color w:val="auto"/>
        </w:rPr>
        <w:fldChar w:fldCharType="end"/>
      </w:r>
      <w:r>
        <w:rPr>
          <w:rFonts w:hint="eastAsia" w:ascii="宋体" w:hAnsi="宋体" w:eastAsia="宋体" w:cs="宋体"/>
          <w:bCs/>
          <w:snapToGrid w:val="0"/>
          <w:color w:val="auto"/>
          <w:kern w:val="0"/>
          <w:highlight w:val="none"/>
        </w:rPr>
        <w:fldChar w:fldCharType="end"/>
      </w:r>
    </w:p>
    <w:p>
      <w:pPr>
        <w:pStyle w:val="15"/>
        <w:tabs>
          <w:tab w:val="right" w:leader="dot" w:pos="8312"/>
        </w:tabs>
        <w:rPr>
          <w:color w:val="auto"/>
        </w:rPr>
      </w:pPr>
      <w:r>
        <w:rPr>
          <w:rFonts w:hint="eastAsia" w:ascii="宋体" w:hAnsi="宋体" w:eastAsia="宋体" w:cs="宋体"/>
          <w:bCs/>
          <w:snapToGrid w:val="0"/>
          <w:color w:val="auto"/>
          <w:kern w:val="0"/>
          <w:highlight w:val="none"/>
        </w:rPr>
        <w:fldChar w:fldCharType="begin"/>
      </w:r>
      <w:r>
        <w:rPr>
          <w:rFonts w:hint="eastAsia" w:ascii="宋体" w:hAnsi="宋体" w:eastAsia="宋体" w:cs="宋体"/>
          <w:bCs/>
          <w:snapToGrid w:val="0"/>
          <w:color w:val="auto"/>
          <w:kern w:val="0"/>
          <w:highlight w:val="none"/>
        </w:rPr>
        <w:instrText xml:space="preserve"> HYPERLINK \l _Toc30734 </w:instrText>
      </w:r>
      <w:r>
        <w:rPr>
          <w:rFonts w:hint="eastAsia" w:ascii="宋体" w:hAnsi="宋体" w:eastAsia="宋体" w:cs="宋体"/>
          <w:bCs/>
          <w:snapToGrid w:val="0"/>
          <w:color w:val="auto"/>
          <w:kern w:val="0"/>
          <w:highlight w:val="none"/>
        </w:rPr>
        <w:fldChar w:fldCharType="separate"/>
      </w:r>
      <w:r>
        <w:rPr>
          <w:rFonts w:hint="eastAsia" w:ascii="宋体" w:hAnsi="宋体" w:eastAsia="宋体" w:cs="宋体"/>
          <w:color w:val="auto"/>
          <w:highlight w:val="none"/>
        </w:rPr>
        <w:t>三、响应文件的编制和数量</w:t>
      </w:r>
      <w:r>
        <w:rPr>
          <w:color w:val="auto"/>
        </w:rPr>
        <w:tab/>
      </w:r>
      <w:r>
        <w:rPr>
          <w:color w:val="auto"/>
        </w:rPr>
        <w:fldChar w:fldCharType="begin"/>
      </w:r>
      <w:r>
        <w:rPr>
          <w:color w:val="auto"/>
        </w:rPr>
        <w:instrText xml:space="preserve"> PAGEREF _Toc30734 \h </w:instrText>
      </w:r>
      <w:r>
        <w:rPr>
          <w:color w:val="auto"/>
        </w:rPr>
        <w:fldChar w:fldCharType="separate"/>
      </w:r>
      <w:r>
        <w:rPr>
          <w:color w:val="auto"/>
        </w:rPr>
        <w:t>10</w:t>
      </w:r>
      <w:r>
        <w:rPr>
          <w:color w:val="auto"/>
        </w:rPr>
        <w:fldChar w:fldCharType="end"/>
      </w:r>
      <w:r>
        <w:rPr>
          <w:rFonts w:hint="eastAsia" w:ascii="宋体" w:hAnsi="宋体" w:eastAsia="宋体" w:cs="宋体"/>
          <w:bCs/>
          <w:snapToGrid w:val="0"/>
          <w:color w:val="auto"/>
          <w:kern w:val="0"/>
          <w:highlight w:val="none"/>
        </w:rPr>
        <w:fldChar w:fldCharType="end"/>
      </w:r>
    </w:p>
    <w:p>
      <w:pPr>
        <w:pStyle w:val="15"/>
        <w:tabs>
          <w:tab w:val="right" w:leader="dot" w:pos="8312"/>
        </w:tabs>
        <w:rPr>
          <w:color w:val="auto"/>
        </w:rPr>
      </w:pPr>
      <w:r>
        <w:rPr>
          <w:rFonts w:hint="eastAsia" w:ascii="宋体" w:hAnsi="宋体" w:eastAsia="宋体" w:cs="宋体"/>
          <w:bCs/>
          <w:snapToGrid w:val="0"/>
          <w:color w:val="auto"/>
          <w:kern w:val="0"/>
          <w:highlight w:val="none"/>
        </w:rPr>
        <w:fldChar w:fldCharType="begin"/>
      </w:r>
      <w:r>
        <w:rPr>
          <w:rFonts w:hint="eastAsia" w:ascii="宋体" w:hAnsi="宋体" w:eastAsia="宋体" w:cs="宋体"/>
          <w:bCs/>
          <w:snapToGrid w:val="0"/>
          <w:color w:val="auto"/>
          <w:kern w:val="0"/>
          <w:highlight w:val="none"/>
        </w:rPr>
        <w:instrText xml:space="preserve"> HYPERLINK \l _Toc20662 </w:instrText>
      </w:r>
      <w:r>
        <w:rPr>
          <w:rFonts w:hint="eastAsia" w:ascii="宋体" w:hAnsi="宋体" w:eastAsia="宋体" w:cs="宋体"/>
          <w:bCs/>
          <w:snapToGrid w:val="0"/>
          <w:color w:val="auto"/>
          <w:kern w:val="0"/>
          <w:highlight w:val="none"/>
        </w:rPr>
        <w:fldChar w:fldCharType="separate"/>
      </w:r>
      <w:r>
        <w:rPr>
          <w:rFonts w:hint="eastAsia" w:ascii="宋体" w:hAnsi="宋体" w:eastAsia="宋体" w:cs="宋体"/>
          <w:color w:val="auto"/>
          <w:highlight w:val="none"/>
        </w:rPr>
        <w:t>四、响应文件的份数、装订和递交</w:t>
      </w:r>
      <w:r>
        <w:rPr>
          <w:color w:val="auto"/>
        </w:rPr>
        <w:tab/>
      </w:r>
      <w:r>
        <w:rPr>
          <w:color w:val="auto"/>
        </w:rPr>
        <w:fldChar w:fldCharType="begin"/>
      </w:r>
      <w:r>
        <w:rPr>
          <w:color w:val="auto"/>
        </w:rPr>
        <w:instrText xml:space="preserve"> PAGEREF _Toc20662 \h </w:instrText>
      </w:r>
      <w:r>
        <w:rPr>
          <w:color w:val="auto"/>
        </w:rPr>
        <w:fldChar w:fldCharType="separate"/>
      </w:r>
      <w:r>
        <w:rPr>
          <w:color w:val="auto"/>
        </w:rPr>
        <w:t>12</w:t>
      </w:r>
      <w:r>
        <w:rPr>
          <w:color w:val="auto"/>
        </w:rPr>
        <w:fldChar w:fldCharType="end"/>
      </w:r>
      <w:r>
        <w:rPr>
          <w:rFonts w:hint="eastAsia" w:ascii="宋体" w:hAnsi="宋体" w:eastAsia="宋体" w:cs="宋体"/>
          <w:bCs/>
          <w:snapToGrid w:val="0"/>
          <w:color w:val="auto"/>
          <w:kern w:val="0"/>
          <w:highlight w:val="none"/>
        </w:rPr>
        <w:fldChar w:fldCharType="end"/>
      </w:r>
    </w:p>
    <w:p>
      <w:pPr>
        <w:pStyle w:val="14"/>
        <w:tabs>
          <w:tab w:val="right" w:leader="dot" w:pos="8312"/>
        </w:tabs>
        <w:rPr>
          <w:color w:val="auto"/>
        </w:rPr>
      </w:pPr>
      <w:r>
        <w:rPr>
          <w:rFonts w:hint="eastAsia" w:ascii="宋体" w:hAnsi="宋体" w:eastAsia="宋体" w:cs="宋体"/>
          <w:bCs/>
          <w:snapToGrid w:val="0"/>
          <w:color w:val="auto"/>
          <w:kern w:val="0"/>
          <w:highlight w:val="none"/>
        </w:rPr>
        <w:fldChar w:fldCharType="begin"/>
      </w:r>
      <w:r>
        <w:rPr>
          <w:rFonts w:hint="eastAsia" w:ascii="宋体" w:hAnsi="宋体" w:eastAsia="宋体" w:cs="宋体"/>
          <w:bCs/>
          <w:snapToGrid w:val="0"/>
          <w:color w:val="auto"/>
          <w:kern w:val="0"/>
          <w:highlight w:val="none"/>
        </w:rPr>
        <w:instrText xml:space="preserve"> HYPERLINK \l _Toc7859 </w:instrText>
      </w:r>
      <w:r>
        <w:rPr>
          <w:rFonts w:hint="eastAsia" w:ascii="宋体" w:hAnsi="宋体" w:eastAsia="宋体" w:cs="宋体"/>
          <w:bCs/>
          <w:snapToGrid w:val="0"/>
          <w:color w:val="auto"/>
          <w:kern w:val="0"/>
          <w:highlight w:val="none"/>
        </w:rPr>
        <w:fldChar w:fldCharType="separate"/>
      </w:r>
      <w:r>
        <w:rPr>
          <w:rFonts w:hint="eastAsia" w:ascii="宋体" w:hAnsi="宋体" w:eastAsia="宋体" w:cs="宋体"/>
          <w:color w:val="auto"/>
          <w:highlight w:val="none"/>
        </w:rPr>
        <w:t>第三章 采购需求</w:t>
      </w:r>
      <w:r>
        <w:rPr>
          <w:color w:val="auto"/>
        </w:rPr>
        <w:tab/>
      </w:r>
      <w:r>
        <w:rPr>
          <w:color w:val="auto"/>
        </w:rPr>
        <w:fldChar w:fldCharType="begin"/>
      </w:r>
      <w:r>
        <w:rPr>
          <w:color w:val="auto"/>
        </w:rPr>
        <w:instrText xml:space="preserve"> PAGEREF _Toc7859 \h </w:instrText>
      </w:r>
      <w:r>
        <w:rPr>
          <w:color w:val="auto"/>
        </w:rPr>
        <w:fldChar w:fldCharType="separate"/>
      </w:r>
      <w:r>
        <w:rPr>
          <w:color w:val="auto"/>
        </w:rPr>
        <w:t>18</w:t>
      </w:r>
      <w:r>
        <w:rPr>
          <w:color w:val="auto"/>
        </w:rPr>
        <w:fldChar w:fldCharType="end"/>
      </w:r>
      <w:r>
        <w:rPr>
          <w:rFonts w:hint="eastAsia" w:ascii="宋体" w:hAnsi="宋体" w:eastAsia="宋体" w:cs="宋体"/>
          <w:bCs/>
          <w:snapToGrid w:val="0"/>
          <w:color w:val="auto"/>
          <w:kern w:val="0"/>
          <w:highlight w:val="none"/>
        </w:rPr>
        <w:fldChar w:fldCharType="end"/>
      </w:r>
    </w:p>
    <w:p>
      <w:pPr>
        <w:pStyle w:val="14"/>
        <w:tabs>
          <w:tab w:val="right" w:leader="dot" w:pos="8312"/>
        </w:tabs>
        <w:rPr>
          <w:color w:val="auto"/>
        </w:rPr>
      </w:pPr>
      <w:r>
        <w:rPr>
          <w:rFonts w:hint="eastAsia" w:ascii="宋体" w:hAnsi="宋体" w:eastAsia="宋体" w:cs="宋体"/>
          <w:bCs/>
          <w:snapToGrid w:val="0"/>
          <w:color w:val="auto"/>
          <w:kern w:val="0"/>
          <w:highlight w:val="none"/>
        </w:rPr>
        <w:fldChar w:fldCharType="begin"/>
      </w:r>
      <w:r>
        <w:rPr>
          <w:rFonts w:hint="eastAsia" w:ascii="宋体" w:hAnsi="宋体" w:eastAsia="宋体" w:cs="宋体"/>
          <w:bCs/>
          <w:snapToGrid w:val="0"/>
          <w:color w:val="auto"/>
          <w:kern w:val="0"/>
          <w:highlight w:val="none"/>
        </w:rPr>
        <w:instrText xml:space="preserve"> HYPERLINK \l _Toc25937 </w:instrText>
      </w:r>
      <w:r>
        <w:rPr>
          <w:rFonts w:hint="eastAsia" w:ascii="宋体" w:hAnsi="宋体" w:eastAsia="宋体" w:cs="宋体"/>
          <w:bCs/>
          <w:snapToGrid w:val="0"/>
          <w:color w:val="auto"/>
          <w:kern w:val="0"/>
          <w:highlight w:val="none"/>
        </w:rPr>
        <w:fldChar w:fldCharType="separate"/>
      </w:r>
      <w:r>
        <w:rPr>
          <w:rFonts w:hint="eastAsia" w:ascii="宋体" w:hAnsi="宋体" w:eastAsia="宋体" w:cs="宋体"/>
          <w:color w:val="auto"/>
          <w:highlight w:val="none"/>
        </w:rPr>
        <w:t>第四章 磋商方法、步骤及标准</w:t>
      </w:r>
      <w:r>
        <w:rPr>
          <w:color w:val="auto"/>
        </w:rPr>
        <w:tab/>
      </w:r>
      <w:r>
        <w:rPr>
          <w:color w:val="auto"/>
        </w:rPr>
        <w:fldChar w:fldCharType="begin"/>
      </w:r>
      <w:r>
        <w:rPr>
          <w:color w:val="auto"/>
        </w:rPr>
        <w:instrText xml:space="preserve"> PAGEREF _Toc25937 \h </w:instrText>
      </w:r>
      <w:r>
        <w:rPr>
          <w:color w:val="auto"/>
        </w:rPr>
        <w:fldChar w:fldCharType="separate"/>
      </w:r>
      <w:r>
        <w:rPr>
          <w:color w:val="auto"/>
        </w:rPr>
        <w:t>22</w:t>
      </w:r>
      <w:r>
        <w:rPr>
          <w:color w:val="auto"/>
        </w:rPr>
        <w:fldChar w:fldCharType="end"/>
      </w:r>
      <w:r>
        <w:rPr>
          <w:rFonts w:hint="eastAsia" w:ascii="宋体" w:hAnsi="宋体" w:eastAsia="宋体" w:cs="宋体"/>
          <w:bCs/>
          <w:snapToGrid w:val="0"/>
          <w:color w:val="auto"/>
          <w:kern w:val="0"/>
          <w:highlight w:val="none"/>
        </w:rPr>
        <w:fldChar w:fldCharType="end"/>
      </w:r>
    </w:p>
    <w:p>
      <w:pPr>
        <w:pStyle w:val="15"/>
        <w:tabs>
          <w:tab w:val="right" w:leader="dot" w:pos="8312"/>
        </w:tabs>
        <w:rPr>
          <w:color w:val="auto"/>
        </w:rPr>
      </w:pPr>
      <w:r>
        <w:rPr>
          <w:rFonts w:hint="eastAsia" w:ascii="宋体" w:hAnsi="宋体" w:eastAsia="宋体" w:cs="宋体"/>
          <w:bCs/>
          <w:snapToGrid w:val="0"/>
          <w:color w:val="auto"/>
          <w:kern w:val="0"/>
          <w:highlight w:val="none"/>
        </w:rPr>
        <w:fldChar w:fldCharType="begin"/>
      </w:r>
      <w:r>
        <w:rPr>
          <w:rFonts w:hint="eastAsia" w:ascii="宋体" w:hAnsi="宋体" w:eastAsia="宋体" w:cs="宋体"/>
          <w:bCs/>
          <w:snapToGrid w:val="0"/>
          <w:color w:val="auto"/>
          <w:kern w:val="0"/>
          <w:highlight w:val="none"/>
        </w:rPr>
        <w:instrText xml:space="preserve"> HYPERLINK \l _Toc5734 </w:instrText>
      </w:r>
      <w:r>
        <w:rPr>
          <w:rFonts w:hint="eastAsia" w:ascii="宋体" w:hAnsi="宋体" w:eastAsia="宋体" w:cs="宋体"/>
          <w:bCs/>
          <w:snapToGrid w:val="0"/>
          <w:color w:val="auto"/>
          <w:kern w:val="0"/>
          <w:highlight w:val="none"/>
        </w:rPr>
        <w:fldChar w:fldCharType="separate"/>
      </w:r>
      <w:r>
        <w:rPr>
          <w:rFonts w:hint="eastAsia" w:ascii="宋体" w:hAnsi="宋体" w:eastAsia="宋体" w:cs="宋体"/>
          <w:color w:val="auto"/>
          <w:highlight w:val="none"/>
        </w:rPr>
        <w:t>一、磋商步骤</w:t>
      </w:r>
      <w:r>
        <w:rPr>
          <w:color w:val="auto"/>
        </w:rPr>
        <w:tab/>
      </w:r>
      <w:r>
        <w:rPr>
          <w:color w:val="auto"/>
        </w:rPr>
        <w:fldChar w:fldCharType="begin"/>
      </w:r>
      <w:r>
        <w:rPr>
          <w:color w:val="auto"/>
        </w:rPr>
        <w:instrText xml:space="preserve"> PAGEREF _Toc5734 \h </w:instrText>
      </w:r>
      <w:r>
        <w:rPr>
          <w:color w:val="auto"/>
        </w:rPr>
        <w:fldChar w:fldCharType="separate"/>
      </w:r>
      <w:r>
        <w:rPr>
          <w:color w:val="auto"/>
        </w:rPr>
        <w:t>22</w:t>
      </w:r>
      <w:r>
        <w:rPr>
          <w:color w:val="auto"/>
        </w:rPr>
        <w:fldChar w:fldCharType="end"/>
      </w:r>
      <w:r>
        <w:rPr>
          <w:rFonts w:hint="eastAsia" w:ascii="宋体" w:hAnsi="宋体" w:eastAsia="宋体" w:cs="宋体"/>
          <w:bCs/>
          <w:snapToGrid w:val="0"/>
          <w:color w:val="auto"/>
          <w:kern w:val="0"/>
          <w:highlight w:val="none"/>
        </w:rPr>
        <w:fldChar w:fldCharType="end"/>
      </w:r>
    </w:p>
    <w:p>
      <w:pPr>
        <w:pStyle w:val="15"/>
        <w:tabs>
          <w:tab w:val="right" w:leader="dot" w:pos="8312"/>
        </w:tabs>
        <w:rPr>
          <w:color w:val="auto"/>
        </w:rPr>
      </w:pPr>
      <w:r>
        <w:rPr>
          <w:rFonts w:hint="eastAsia" w:ascii="宋体" w:hAnsi="宋体" w:eastAsia="宋体" w:cs="宋体"/>
          <w:bCs/>
          <w:snapToGrid w:val="0"/>
          <w:color w:val="auto"/>
          <w:kern w:val="0"/>
          <w:highlight w:val="none"/>
        </w:rPr>
        <w:fldChar w:fldCharType="begin"/>
      </w:r>
      <w:r>
        <w:rPr>
          <w:rFonts w:hint="eastAsia" w:ascii="宋体" w:hAnsi="宋体" w:eastAsia="宋体" w:cs="宋体"/>
          <w:bCs/>
          <w:snapToGrid w:val="0"/>
          <w:color w:val="auto"/>
          <w:kern w:val="0"/>
          <w:highlight w:val="none"/>
        </w:rPr>
        <w:instrText xml:space="preserve"> HYPERLINK \l _Toc28747 </w:instrText>
      </w:r>
      <w:r>
        <w:rPr>
          <w:rFonts w:hint="eastAsia" w:ascii="宋体" w:hAnsi="宋体" w:eastAsia="宋体" w:cs="宋体"/>
          <w:bCs/>
          <w:snapToGrid w:val="0"/>
          <w:color w:val="auto"/>
          <w:kern w:val="0"/>
          <w:highlight w:val="none"/>
        </w:rPr>
        <w:fldChar w:fldCharType="separate"/>
      </w:r>
      <w:r>
        <w:rPr>
          <w:rFonts w:hint="eastAsia" w:ascii="宋体" w:hAnsi="宋体" w:eastAsia="宋体" w:cs="宋体"/>
          <w:color w:val="auto"/>
          <w:highlight w:val="none"/>
        </w:rPr>
        <w:t>二、磋商标准</w:t>
      </w:r>
      <w:r>
        <w:rPr>
          <w:color w:val="auto"/>
        </w:rPr>
        <w:tab/>
      </w:r>
      <w:r>
        <w:rPr>
          <w:color w:val="auto"/>
        </w:rPr>
        <w:fldChar w:fldCharType="begin"/>
      </w:r>
      <w:r>
        <w:rPr>
          <w:color w:val="auto"/>
        </w:rPr>
        <w:instrText xml:space="preserve"> PAGEREF _Toc28747 \h </w:instrText>
      </w:r>
      <w:r>
        <w:rPr>
          <w:color w:val="auto"/>
        </w:rPr>
        <w:fldChar w:fldCharType="separate"/>
      </w:r>
      <w:r>
        <w:rPr>
          <w:color w:val="auto"/>
        </w:rPr>
        <w:t>23</w:t>
      </w:r>
      <w:r>
        <w:rPr>
          <w:color w:val="auto"/>
        </w:rPr>
        <w:fldChar w:fldCharType="end"/>
      </w:r>
      <w:r>
        <w:rPr>
          <w:rFonts w:hint="eastAsia" w:ascii="宋体" w:hAnsi="宋体" w:eastAsia="宋体" w:cs="宋体"/>
          <w:bCs/>
          <w:snapToGrid w:val="0"/>
          <w:color w:val="auto"/>
          <w:kern w:val="0"/>
          <w:highlight w:val="none"/>
        </w:rPr>
        <w:fldChar w:fldCharType="end"/>
      </w:r>
    </w:p>
    <w:p>
      <w:pPr>
        <w:pStyle w:val="14"/>
        <w:tabs>
          <w:tab w:val="right" w:leader="dot" w:pos="8312"/>
        </w:tabs>
        <w:rPr>
          <w:color w:val="auto"/>
        </w:rPr>
      </w:pPr>
      <w:r>
        <w:rPr>
          <w:rFonts w:hint="eastAsia" w:ascii="宋体" w:hAnsi="宋体" w:eastAsia="宋体" w:cs="宋体"/>
          <w:bCs/>
          <w:snapToGrid w:val="0"/>
          <w:color w:val="auto"/>
          <w:kern w:val="0"/>
          <w:highlight w:val="none"/>
        </w:rPr>
        <w:fldChar w:fldCharType="begin"/>
      </w:r>
      <w:r>
        <w:rPr>
          <w:rFonts w:hint="eastAsia" w:ascii="宋体" w:hAnsi="宋体" w:eastAsia="宋体" w:cs="宋体"/>
          <w:bCs/>
          <w:snapToGrid w:val="0"/>
          <w:color w:val="auto"/>
          <w:kern w:val="0"/>
          <w:highlight w:val="none"/>
        </w:rPr>
        <w:instrText xml:space="preserve"> HYPERLINK \l _Toc23949 </w:instrText>
      </w:r>
      <w:r>
        <w:rPr>
          <w:rFonts w:hint="eastAsia" w:ascii="宋体" w:hAnsi="宋体" w:eastAsia="宋体" w:cs="宋体"/>
          <w:bCs/>
          <w:snapToGrid w:val="0"/>
          <w:color w:val="auto"/>
          <w:kern w:val="0"/>
          <w:highlight w:val="none"/>
        </w:rPr>
        <w:fldChar w:fldCharType="separate"/>
      </w:r>
      <w:r>
        <w:rPr>
          <w:rFonts w:hint="eastAsia" w:ascii="宋体" w:hAnsi="宋体" w:eastAsia="宋体" w:cs="宋体"/>
          <w:color w:val="auto"/>
          <w:highlight w:val="none"/>
        </w:rPr>
        <w:t>第五章 合同格式及合同条款范本</w:t>
      </w:r>
      <w:r>
        <w:rPr>
          <w:color w:val="auto"/>
        </w:rPr>
        <w:tab/>
      </w:r>
      <w:r>
        <w:rPr>
          <w:color w:val="auto"/>
        </w:rPr>
        <w:fldChar w:fldCharType="begin"/>
      </w:r>
      <w:r>
        <w:rPr>
          <w:color w:val="auto"/>
        </w:rPr>
        <w:instrText xml:space="preserve"> PAGEREF _Toc23949 \h </w:instrText>
      </w:r>
      <w:r>
        <w:rPr>
          <w:color w:val="auto"/>
        </w:rPr>
        <w:fldChar w:fldCharType="separate"/>
      </w:r>
      <w:r>
        <w:rPr>
          <w:color w:val="auto"/>
        </w:rPr>
        <w:t>27</w:t>
      </w:r>
      <w:r>
        <w:rPr>
          <w:color w:val="auto"/>
        </w:rPr>
        <w:fldChar w:fldCharType="end"/>
      </w:r>
      <w:r>
        <w:rPr>
          <w:rFonts w:hint="eastAsia" w:ascii="宋体" w:hAnsi="宋体" w:eastAsia="宋体" w:cs="宋体"/>
          <w:bCs/>
          <w:snapToGrid w:val="0"/>
          <w:color w:val="auto"/>
          <w:kern w:val="0"/>
          <w:highlight w:val="none"/>
        </w:rPr>
        <w:fldChar w:fldCharType="end"/>
      </w:r>
    </w:p>
    <w:p>
      <w:pPr>
        <w:pStyle w:val="14"/>
        <w:tabs>
          <w:tab w:val="right" w:leader="dot" w:pos="8312"/>
        </w:tabs>
        <w:rPr>
          <w:color w:val="auto"/>
        </w:rPr>
      </w:pPr>
      <w:r>
        <w:rPr>
          <w:rFonts w:hint="eastAsia" w:ascii="宋体" w:hAnsi="宋体" w:eastAsia="宋体" w:cs="宋体"/>
          <w:bCs/>
          <w:snapToGrid w:val="0"/>
          <w:color w:val="auto"/>
          <w:kern w:val="0"/>
          <w:highlight w:val="none"/>
        </w:rPr>
        <w:fldChar w:fldCharType="begin"/>
      </w:r>
      <w:r>
        <w:rPr>
          <w:rFonts w:hint="eastAsia" w:ascii="宋体" w:hAnsi="宋体" w:eastAsia="宋体" w:cs="宋体"/>
          <w:bCs/>
          <w:snapToGrid w:val="0"/>
          <w:color w:val="auto"/>
          <w:kern w:val="0"/>
          <w:highlight w:val="none"/>
        </w:rPr>
        <w:instrText xml:space="preserve"> HYPERLINK \l _Toc6005 </w:instrText>
      </w:r>
      <w:r>
        <w:rPr>
          <w:rFonts w:hint="eastAsia" w:ascii="宋体" w:hAnsi="宋体" w:eastAsia="宋体" w:cs="宋体"/>
          <w:bCs/>
          <w:snapToGrid w:val="0"/>
          <w:color w:val="auto"/>
          <w:kern w:val="0"/>
          <w:highlight w:val="none"/>
        </w:rPr>
        <w:fldChar w:fldCharType="separate"/>
      </w:r>
      <w:r>
        <w:rPr>
          <w:rFonts w:hint="eastAsia" w:ascii="宋体" w:hAnsi="宋体" w:eastAsia="宋体" w:cs="宋体"/>
          <w:color w:val="auto"/>
          <w:highlight w:val="none"/>
        </w:rPr>
        <w:t>第六章 响应文件格式</w:t>
      </w:r>
      <w:r>
        <w:rPr>
          <w:color w:val="auto"/>
        </w:rPr>
        <w:tab/>
      </w:r>
      <w:r>
        <w:rPr>
          <w:color w:val="auto"/>
        </w:rPr>
        <w:fldChar w:fldCharType="begin"/>
      </w:r>
      <w:r>
        <w:rPr>
          <w:color w:val="auto"/>
        </w:rPr>
        <w:instrText xml:space="preserve"> PAGEREF _Toc6005 \h </w:instrText>
      </w:r>
      <w:r>
        <w:rPr>
          <w:color w:val="auto"/>
        </w:rPr>
        <w:fldChar w:fldCharType="separate"/>
      </w:r>
      <w:r>
        <w:rPr>
          <w:color w:val="auto"/>
        </w:rPr>
        <w:t>28</w:t>
      </w:r>
      <w:r>
        <w:rPr>
          <w:color w:val="auto"/>
        </w:rPr>
        <w:fldChar w:fldCharType="end"/>
      </w:r>
      <w:r>
        <w:rPr>
          <w:rFonts w:hint="eastAsia" w:ascii="宋体" w:hAnsi="宋体" w:eastAsia="宋体" w:cs="宋体"/>
          <w:bCs/>
          <w:snapToGrid w:val="0"/>
          <w:color w:val="auto"/>
          <w:kern w:val="0"/>
          <w:highlight w:val="none"/>
        </w:rPr>
        <w:fldChar w:fldCharType="end"/>
      </w:r>
    </w:p>
    <w:p>
      <w:pPr>
        <w:pStyle w:val="15"/>
        <w:tabs>
          <w:tab w:val="right" w:leader="dot" w:pos="8312"/>
        </w:tabs>
        <w:rPr>
          <w:color w:val="auto"/>
        </w:rPr>
      </w:pPr>
      <w:r>
        <w:rPr>
          <w:rFonts w:hint="eastAsia" w:ascii="宋体" w:hAnsi="宋体" w:eastAsia="宋体" w:cs="宋体"/>
          <w:bCs/>
          <w:snapToGrid w:val="0"/>
          <w:color w:val="auto"/>
          <w:kern w:val="0"/>
          <w:highlight w:val="none"/>
        </w:rPr>
        <w:fldChar w:fldCharType="begin"/>
      </w:r>
      <w:r>
        <w:rPr>
          <w:rFonts w:hint="eastAsia" w:ascii="宋体" w:hAnsi="宋体" w:eastAsia="宋体" w:cs="宋体"/>
          <w:bCs/>
          <w:snapToGrid w:val="0"/>
          <w:color w:val="auto"/>
          <w:kern w:val="0"/>
          <w:highlight w:val="none"/>
        </w:rPr>
        <w:instrText xml:space="preserve"> HYPERLINK \l _Toc22340 </w:instrText>
      </w:r>
      <w:r>
        <w:rPr>
          <w:rFonts w:hint="eastAsia" w:ascii="宋体" w:hAnsi="宋体" w:eastAsia="宋体" w:cs="宋体"/>
          <w:bCs/>
          <w:snapToGrid w:val="0"/>
          <w:color w:val="auto"/>
          <w:kern w:val="0"/>
          <w:highlight w:val="none"/>
        </w:rPr>
        <w:fldChar w:fldCharType="separate"/>
      </w:r>
      <w:r>
        <w:rPr>
          <w:rFonts w:hint="eastAsia" w:ascii="宋体" w:hAnsi="宋体" w:eastAsia="宋体" w:cs="宋体"/>
          <w:color w:val="auto"/>
          <w:szCs w:val="24"/>
          <w:highlight w:val="none"/>
        </w:rPr>
        <w:t>附件一</w:t>
      </w:r>
      <w:r>
        <w:rPr>
          <w:color w:val="auto"/>
        </w:rPr>
        <w:tab/>
      </w:r>
      <w:r>
        <w:rPr>
          <w:color w:val="auto"/>
        </w:rPr>
        <w:fldChar w:fldCharType="begin"/>
      </w:r>
      <w:r>
        <w:rPr>
          <w:color w:val="auto"/>
        </w:rPr>
        <w:instrText xml:space="preserve"> PAGEREF _Toc22340 \h </w:instrText>
      </w:r>
      <w:r>
        <w:rPr>
          <w:color w:val="auto"/>
        </w:rPr>
        <w:fldChar w:fldCharType="separate"/>
      </w:r>
      <w:r>
        <w:rPr>
          <w:color w:val="auto"/>
        </w:rPr>
        <w:t>30</w:t>
      </w:r>
      <w:r>
        <w:rPr>
          <w:color w:val="auto"/>
        </w:rPr>
        <w:fldChar w:fldCharType="end"/>
      </w:r>
      <w:r>
        <w:rPr>
          <w:rFonts w:hint="eastAsia" w:ascii="宋体" w:hAnsi="宋体" w:eastAsia="宋体" w:cs="宋体"/>
          <w:bCs/>
          <w:snapToGrid w:val="0"/>
          <w:color w:val="auto"/>
          <w:kern w:val="0"/>
          <w:highlight w:val="none"/>
        </w:rPr>
        <w:fldChar w:fldCharType="end"/>
      </w:r>
    </w:p>
    <w:p>
      <w:pPr>
        <w:pStyle w:val="15"/>
        <w:tabs>
          <w:tab w:val="right" w:leader="dot" w:pos="8312"/>
        </w:tabs>
        <w:rPr>
          <w:color w:val="auto"/>
        </w:rPr>
      </w:pPr>
      <w:r>
        <w:rPr>
          <w:rFonts w:hint="eastAsia" w:ascii="宋体" w:hAnsi="宋体" w:eastAsia="宋体" w:cs="宋体"/>
          <w:bCs/>
          <w:snapToGrid w:val="0"/>
          <w:color w:val="auto"/>
          <w:kern w:val="0"/>
          <w:highlight w:val="none"/>
        </w:rPr>
        <w:fldChar w:fldCharType="begin"/>
      </w:r>
      <w:r>
        <w:rPr>
          <w:rFonts w:hint="eastAsia" w:ascii="宋体" w:hAnsi="宋体" w:eastAsia="宋体" w:cs="宋体"/>
          <w:bCs/>
          <w:snapToGrid w:val="0"/>
          <w:color w:val="auto"/>
          <w:kern w:val="0"/>
          <w:highlight w:val="none"/>
        </w:rPr>
        <w:instrText xml:space="preserve"> HYPERLINK \l _Toc15789 </w:instrText>
      </w:r>
      <w:r>
        <w:rPr>
          <w:rFonts w:hint="eastAsia" w:ascii="宋体" w:hAnsi="宋体" w:eastAsia="宋体" w:cs="宋体"/>
          <w:bCs/>
          <w:snapToGrid w:val="0"/>
          <w:color w:val="auto"/>
          <w:kern w:val="0"/>
          <w:highlight w:val="none"/>
        </w:rPr>
        <w:fldChar w:fldCharType="separate"/>
      </w:r>
      <w:r>
        <w:rPr>
          <w:rFonts w:hint="eastAsia" w:ascii="宋体" w:hAnsi="宋体" w:eastAsia="宋体" w:cs="宋体"/>
          <w:color w:val="auto"/>
          <w:szCs w:val="24"/>
          <w:highlight w:val="none"/>
        </w:rPr>
        <w:t>附件二</w:t>
      </w:r>
      <w:r>
        <w:rPr>
          <w:color w:val="auto"/>
        </w:rPr>
        <w:tab/>
      </w:r>
      <w:r>
        <w:rPr>
          <w:color w:val="auto"/>
        </w:rPr>
        <w:fldChar w:fldCharType="begin"/>
      </w:r>
      <w:r>
        <w:rPr>
          <w:color w:val="auto"/>
        </w:rPr>
        <w:instrText xml:space="preserve"> PAGEREF _Toc15789 \h </w:instrText>
      </w:r>
      <w:r>
        <w:rPr>
          <w:color w:val="auto"/>
        </w:rPr>
        <w:fldChar w:fldCharType="separate"/>
      </w:r>
      <w:r>
        <w:rPr>
          <w:color w:val="auto"/>
        </w:rPr>
        <w:t>31</w:t>
      </w:r>
      <w:r>
        <w:rPr>
          <w:color w:val="auto"/>
        </w:rPr>
        <w:fldChar w:fldCharType="end"/>
      </w:r>
      <w:r>
        <w:rPr>
          <w:rFonts w:hint="eastAsia" w:ascii="宋体" w:hAnsi="宋体" w:eastAsia="宋体" w:cs="宋体"/>
          <w:bCs/>
          <w:snapToGrid w:val="0"/>
          <w:color w:val="auto"/>
          <w:kern w:val="0"/>
          <w:highlight w:val="none"/>
        </w:rPr>
        <w:fldChar w:fldCharType="end"/>
      </w:r>
    </w:p>
    <w:p>
      <w:pPr>
        <w:pStyle w:val="15"/>
        <w:tabs>
          <w:tab w:val="right" w:leader="dot" w:pos="8312"/>
        </w:tabs>
        <w:rPr>
          <w:color w:val="auto"/>
        </w:rPr>
      </w:pPr>
      <w:r>
        <w:rPr>
          <w:rFonts w:hint="eastAsia" w:ascii="宋体" w:hAnsi="宋体" w:eastAsia="宋体" w:cs="宋体"/>
          <w:bCs/>
          <w:snapToGrid w:val="0"/>
          <w:color w:val="auto"/>
          <w:kern w:val="0"/>
          <w:highlight w:val="none"/>
        </w:rPr>
        <w:fldChar w:fldCharType="begin"/>
      </w:r>
      <w:r>
        <w:rPr>
          <w:rFonts w:hint="eastAsia" w:ascii="宋体" w:hAnsi="宋体" w:eastAsia="宋体" w:cs="宋体"/>
          <w:bCs/>
          <w:snapToGrid w:val="0"/>
          <w:color w:val="auto"/>
          <w:kern w:val="0"/>
          <w:highlight w:val="none"/>
        </w:rPr>
        <w:instrText xml:space="preserve"> HYPERLINK \l _Toc30246 </w:instrText>
      </w:r>
      <w:r>
        <w:rPr>
          <w:rFonts w:hint="eastAsia" w:ascii="宋体" w:hAnsi="宋体" w:eastAsia="宋体" w:cs="宋体"/>
          <w:bCs/>
          <w:snapToGrid w:val="0"/>
          <w:color w:val="auto"/>
          <w:kern w:val="0"/>
          <w:highlight w:val="none"/>
        </w:rPr>
        <w:fldChar w:fldCharType="separate"/>
      </w:r>
      <w:r>
        <w:rPr>
          <w:rFonts w:hint="eastAsia" w:ascii="宋体" w:hAnsi="宋体" w:eastAsia="宋体" w:cs="宋体"/>
          <w:color w:val="auto"/>
          <w:szCs w:val="24"/>
          <w:highlight w:val="none"/>
        </w:rPr>
        <w:t>附件三</w:t>
      </w:r>
      <w:r>
        <w:rPr>
          <w:color w:val="auto"/>
        </w:rPr>
        <w:tab/>
      </w:r>
      <w:r>
        <w:rPr>
          <w:color w:val="auto"/>
        </w:rPr>
        <w:fldChar w:fldCharType="begin"/>
      </w:r>
      <w:r>
        <w:rPr>
          <w:color w:val="auto"/>
        </w:rPr>
        <w:instrText xml:space="preserve"> PAGEREF _Toc30246 \h </w:instrText>
      </w:r>
      <w:r>
        <w:rPr>
          <w:color w:val="auto"/>
        </w:rPr>
        <w:fldChar w:fldCharType="separate"/>
      </w:r>
      <w:r>
        <w:rPr>
          <w:color w:val="auto"/>
        </w:rPr>
        <w:t>33</w:t>
      </w:r>
      <w:r>
        <w:rPr>
          <w:color w:val="auto"/>
        </w:rPr>
        <w:fldChar w:fldCharType="end"/>
      </w:r>
      <w:r>
        <w:rPr>
          <w:rFonts w:hint="eastAsia" w:ascii="宋体" w:hAnsi="宋体" w:eastAsia="宋体" w:cs="宋体"/>
          <w:bCs/>
          <w:snapToGrid w:val="0"/>
          <w:color w:val="auto"/>
          <w:kern w:val="0"/>
          <w:highlight w:val="none"/>
        </w:rPr>
        <w:fldChar w:fldCharType="end"/>
      </w:r>
    </w:p>
    <w:p>
      <w:pPr>
        <w:pStyle w:val="15"/>
        <w:tabs>
          <w:tab w:val="right" w:leader="dot" w:pos="8312"/>
        </w:tabs>
        <w:rPr>
          <w:color w:val="auto"/>
        </w:rPr>
      </w:pPr>
      <w:r>
        <w:rPr>
          <w:rFonts w:hint="eastAsia" w:ascii="宋体" w:hAnsi="宋体" w:eastAsia="宋体" w:cs="宋体"/>
          <w:bCs/>
          <w:snapToGrid w:val="0"/>
          <w:color w:val="auto"/>
          <w:kern w:val="0"/>
          <w:highlight w:val="none"/>
        </w:rPr>
        <w:fldChar w:fldCharType="begin"/>
      </w:r>
      <w:r>
        <w:rPr>
          <w:rFonts w:hint="eastAsia" w:ascii="宋体" w:hAnsi="宋体" w:eastAsia="宋体" w:cs="宋体"/>
          <w:bCs/>
          <w:snapToGrid w:val="0"/>
          <w:color w:val="auto"/>
          <w:kern w:val="0"/>
          <w:highlight w:val="none"/>
        </w:rPr>
        <w:instrText xml:space="preserve"> HYPERLINK \l _Toc19879 </w:instrText>
      </w:r>
      <w:r>
        <w:rPr>
          <w:rFonts w:hint="eastAsia" w:ascii="宋体" w:hAnsi="宋体" w:eastAsia="宋体" w:cs="宋体"/>
          <w:bCs/>
          <w:snapToGrid w:val="0"/>
          <w:color w:val="auto"/>
          <w:kern w:val="0"/>
          <w:highlight w:val="none"/>
        </w:rPr>
        <w:fldChar w:fldCharType="separate"/>
      </w:r>
      <w:r>
        <w:rPr>
          <w:rFonts w:hint="eastAsia" w:ascii="宋体" w:hAnsi="宋体" w:eastAsia="宋体" w:cs="宋体"/>
          <w:color w:val="auto"/>
          <w:szCs w:val="24"/>
          <w:highlight w:val="none"/>
        </w:rPr>
        <w:t>附件四</w:t>
      </w:r>
      <w:r>
        <w:rPr>
          <w:color w:val="auto"/>
        </w:rPr>
        <w:tab/>
      </w:r>
      <w:r>
        <w:rPr>
          <w:color w:val="auto"/>
        </w:rPr>
        <w:fldChar w:fldCharType="begin"/>
      </w:r>
      <w:r>
        <w:rPr>
          <w:color w:val="auto"/>
        </w:rPr>
        <w:instrText xml:space="preserve"> PAGEREF _Toc19879 \h </w:instrText>
      </w:r>
      <w:r>
        <w:rPr>
          <w:color w:val="auto"/>
        </w:rPr>
        <w:fldChar w:fldCharType="separate"/>
      </w:r>
      <w:r>
        <w:rPr>
          <w:color w:val="auto"/>
        </w:rPr>
        <w:t>34</w:t>
      </w:r>
      <w:r>
        <w:rPr>
          <w:color w:val="auto"/>
        </w:rPr>
        <w:fldChar w:fldCharType="end"/>
      </w:r>
      <w:r>
        <w:rPr>
          <w:rFonts w:hint="eastAsia" w:ascii="宋体" w:hAnsi="宋体" w:eastAsia="宋体" w:cs="宋体"/>
          <w:bCs/>
          <w:snapToGrid w:val="0"/>
          <w:color w:val="auto"/>
          <w:kern w:val="0"/>
          <w:highlight w:val="none"/>
        </w:rPr>
        <w:fldChar w:fldCharType="end"/>
      </w:r>
    </w:p>
    <w:p>
      <w:pPr>
        <w:pStyle w:val="15"/>
        <w:tabs>
          <w:tab w:val="right" w:leader="dot" w:pos="8312"/>
        </w:tabs>
        <w:rPr>
          <w:color w:val="auto"/>
        </w:rPr>
      </w:pPr>
      <w:r>
        <w:rPr>
          <w:rFonts w:hint="eastAsia" w:ascii="宋体" w:hAnsi="宋体" w:eastAsia="宋体" w:cs="宋体"/>
          <w:bCs/>
          <w:snapToGrid w:val="0"/>
          <w:color w:val="auto"/>
          <w:kern w:val="0"/>
          <w:highlight w:val="none"/>
        </w:rPr>
        <w:fldChar w:fldCharType="begin"/>
      </w:r>
      <w:r>
        <w:rPr>
          <w:rFonts w:hint="eastAsia" w:ascii="宋体" w:hAnsi="宋体" w:eastAsia="宋体" w:cs="宋体"/>
          <w:bCs/>
          <w:snapToGrid w:val="0"/>
          <w:color w:val="auto"/>
          <w:kern w:val="0"/>
          <w:highlight w:val="none"/>
        </w:rPr>
        <w:instrText xml:space="preserve"> HYPERLINK \l _Toc1388 </w:instrText>
      </w:r>
      <w:r>
        <w:rPr>
          <w:rFonts w:hint="eastAsia" w:ascii="宋体" w:hAnsi="宋体" w:eastAsia="宋体" w:cs="宋体"/>
          <w:bCs/>
          <w:snapToGrid w:val="0"/>
          <w:color w:val="auto"/>
          <w:kern w:val="0"/>
          <w:highlight w:val="none"/>
        </w:rPr>
        <w:fldChar w:fldCharType="separate"/>
      </w:r>
      <w:r>
        <w:rPr>
          <w:rFonts w:hint="eastAsia" w:ascii="宋体" w:hAnsi="宋体" w:eastAsia="宋体" w:cs="宋体"/>
          <w:color w:val="auto"/>
          <w:kern w:val="0"/>
          <w:highlight w:val="none"/>
        </w:rPr>
        <w:t>附件五</w:t>
      </w:r>
      <w:r>
        <w:rPr>
          <w:color w:val="auto"/>
        </w:rPr>
        <w:tab/>
      </w:r>
      <w:r>
        <w:rPr>
          <w:color w:val="auto"/>
        </w:rPr>
        <w:fldChar w:fldCharType="begin"/>
      </w:r>
      <w:r>
        <w:rPr>
          <w:color w:val="auto"/>
        </w:rPr>
        <w:instrText xml:space="preserve"> PAGEREF _Toc1388 \h </w:instrText>
      </w:r>
      <w:r>
        <w:rPr>
          <w:color w:val="auto"/>
        </w:rPr>
        <w:fldChar w:fldCharType="separate"/>
      </w:r>
      <w:r>
        <w:rPr>
          <w:color w:val="auto"/>
        </w:rPr>
        <w:t>35</w:t>
      </w:r>
      <w:r>
        <w:rPr>
          <w:color w:val="auto"/>
        </w:rPr>
        <w:fldChar w:fldCharType="end"/>
      </w:r>
      <w:r>
        <w:rPr>
          <w:rFonts w:hint="eastAsia" w:ascii="宋体" w:hAnsi="宋体" w:eastAsia="宋体" w:cs="宋体"/>
          <w:bCs/>
          <w:snapToGrid w:val="0"/>
          <w:color w:val="auto"/>
          <w:kern w:val="0"/>
          <w:highlight w:val="none"/>
        </w:rPr>
        <w:fldChar w:fldCharType="end"/>
      </w:r>
    </w:p>
    <w:p>
      <w:pPr>
        <w:pStyle w:val="15"/>
        <w:tabs>
          <w:tab w:val="right" w:leader="dot" w:pos="8312"/>
        </w:tabs>
        <w:rPr>
          <w:color w:val="auto"/>
        </w:rPr>
      </w:pPr>
      <w:r>
        <w:rPr>
          <w:rFonts w:hint="eastAsia" w:ascii="宋体" w:hAnsi="宋体" w:eastAsia="宋体" w:cs="宋体"/>
          <w:bCs/>
          <w:snapToGrid w:val="0"/>
          <w:color w:val="auto"/>
          <w:kern w:val="0"/>
          <w:highlight w:val="none"/>
        </w:rPr>
        <w:fldChar w:fldCharType="begin"/>
      </w:r>
      <w:r>
        <w:rPr>
          <w:rFonts w:hint="eastAsia" w:ascii="宋体" w:hAnsi="宋体" w:eastAsia="宋体" w:cs="宋体"/>
          <w:bCs/>
          <w:snapToGrid w:val="0"/>
          <w:color w:val="auto"/>
          <w:kern w:val="0"/>
          <w:highlight w:val="none"/>
        </w:rPr>
        <w:instrText xml:space="preserve"> HYPERLINK \l _Toc3831 </w:instrText>
      </w:r>
      <w:r>
        <w:rPr>
          <w:rFonts w:hint="eastAsia" w:ascii="宋体" w:hAnsi="宋体" w:eastAsia="宋体" w:cs="宋体"/>
          <w:bCs/>
          <w:snapToGrid w:val="0"/>
          <w:color w:val="auto"/>
          <w:kern w:val="0"/>
          <w:highlight w:val="none"/>
        </w:rPr>
        <w:fldChar w:fldCharType="separate"/>
      </w:r>
      <w:r>
        <w:rPr>
          <w:rFonts w:hint="eastAsia" w:ascii="宋体" w:hAnsi="宋体" w:eastAsia="宋体" w:cs="宋体"/>
          <w:color w:val="auto"/>
          <w:kern w:val="0"/>
          <w:highlight w:val="none"/>
        </w:rPr>
        <w:t>附件</w:t>
      </w:r>
      <w:r>
        <w:rPr>
          <w:rFonts w:hint="eastAsia" w:ascii="宋体" w:hAnsi="宋体" w:eastAsia="宋体" w:cs="宋体"/>
          <w:color w:val="auto"/>
          <w:kern w:val="0"/>
          <w:highlight w:val="none"/>
          <w:lang w:val="en-US" w:eastAsia="zh-CN"/>
        </w:rPr>
        <w:t>六</w:t>
      </w:r>
      <w:r>
        <w:rPr>
          <w:color w:val="auto"/>
        </w:rPr>
        <w:tab/>
      </w:r>
      <w:r>
        <w:rPr>
          <w:color w:val="auto"/>
        </w:rPr>
        <w:fldChar w:fldCharType="begin"/>
      </w:r>
      <w:r>
        <w:rPr>
          <w:color w:val="auto"/>
        </w:rPr>
        <w:instrText xml:space="preserve"> PAGEREF _Toc3831 \h </w:instrText>
      </w:r>
      <w:r>
        <w:rPr>
          <w:color w:val="auto"/>
        </w:rPr>
        <w:fldChar w:fldCharType="separate"/>
      </w:r>
      <w:r>
        <w:rPr>
          <w:color w:val="auto"/>
        </w:rPr>
        <w:t>36</w:t>
      </w:r>
      <w:r>
        <w:rPr>
          <w:color w:val="auto"/>
        </w:rPr>
        <w:fldChar w:fldCharType="end"/>
      </w:r>
      <w:r>
        <w:rPr>
          <w:rFonts w:hint="eastAsia" w:ascii="宋体" w:hAnsi="宋体" w:eastAsia="宋体" w:cs="宋体"/>
          <w:bCs/>
          <w:snapToGrid w:val="0"/>
          <w:color w:val="auto"/>
          <w:kern w:val="0"/>
          <w:highlight w:val="none"/>
        </w:rPr>
        <w:fldChar w:fldCharType="end"/>
      </w:r>
    </w:p>
    <w:p>
      <w:pPr>
        <w:kinsoku/>
        <w:wordWrap/>
        <w:overflowPunct/>
        <w:topLinePunct w:val="0"/>
        <w:bidi w:val="0"/>
        <w:spacing w:line="360" w:lineRule="auto"/>
        <w:rPr>
          <w:rFonts w:hint="eastAsia" w:ascii="宋体" w:hAnsi="宋体" w:eastAsia="宋体" w:cs="宋体"/>
          <w:b w:val="0"/>
          <w:bCs/>
          <w:color w:val="auto"/>
          <w:highlight w:val="none"/>
        </w:rPr>
      </w:pPr>
      <w:r>
        <w:rPr>
          <w:rFonts w:hint="eastAsia" w:ascii="宋体" w:hAnsi="宋体" w:eastAsia="宋体" w:cs="宋体"/>
          <w:bCs/>
          <w:snapToGrid w:val="0"/>
          <w:color w:val="auto"/>
          <w:kern w:val="0"/>
          <w:highlight w:val="none"/>
        </w:rPr>
        <w:fldChar w:fldCharType="end"/>
      </w:r>
      <w:r>
        <w:rPr>
          <w:rFonts w:hint="eastAsia" w:ascii="宋体" w:hAnsi="宋体" w:eastAsia="宋体" w:cs="宋体"/>
          <w:b w:val="0"/>
          <w:bCs/>
          <w:color w:val="auto"/>
          <w:highlight w:val="none"/>
        </w:rPr>
        <w:tab/>
      </w:r>
    </w:p>
    <w:p>
      <w:pPr>
        <w:pStyle w:val="8"/>
        <w:kinsoku/>
        <w:wordWrap/>
        <w:overflowPunct/>
        <w:topLinePunct w:val="0"/>
        <w:bidi w:val="0"/>
        <w:spacing w:line="360" w:lineRule="auto"/>
        <w:rPr>
          <w:rFonts w:hint="eastAsia" w:ascii="宋体" w:hAnsi="宋体" w:eastAsia="宋体" w:cs="宋体"/>
          <w:b w:val="0"/>
          <w:bCs/>
          <w:color w:val="auto"/>
          <w:highlight w:val="none"/>
        </w:rPr>
        <w:sectPr>
          <w:footerReference r:id="rId3" w:type="default"/>
          <w:pgSz w:w="11906" w:h="16838"/>
          <w:pgMar w:top="1440" w:right="1797" w:bottom="1440" w:left="1797" w:header="851" w:footer="992" w:gutter="0"/>
          <w:pgNumType w:fmt="decimal" w:start="1"/>
          <w:cols w:space="720" w:num="1"/>
          <w:docGrid w:linePitch="312" w:charSpace="0"/>
        </w:sectPr>
      </w:pPr>
      <w:bookmarkStart w:id="2" w:name="_Toc459297209"/>
      <w:bookmarkStart w:id="3" w:name="_Toc459226619"/>
      <w:bookmarkStart w:id="4" w:name="_Toc459223843"/>
      <w:bookmarkStart w:id="5" w:name="_Toc459227602"/>
      <w:bookmarkStart w:id="6" w:name="_Toc459227369"/>
      <w:bookmarkStart w:id="7" w:name="_Toc27047"/>
    </w:p>
    <w:p>
      <w:pPr>
        <w:pStyle w:val="8"/>
        <w:kinsoku/>
        <w:wordWrap/>
        <w:overflowPunct/>
        <w:topLinePunct w:val="0"/>
        <w:bidi w:val="0"/>
        <w:spacing w:line="360" w:lineRule="auto"/>
        <w:rPr>
          <w:rFonts w:hint="eastAsia" w:ascii="宋体" w:hAnsi="宋体" w:eastAsia="宋体" w:cs="宋体"/>
          <w:color w:val="auto"/>
          <w:highlight w:val="none"/>
        </w:rPr>
      </w:pPr>
      <w:bookmarkStart w:id="8" w:name="_Toc31524"/>
      <w:r>
        <w:rPr>
          <w:rFonts w:hint="eastAsia" w:ascii="宋体" w:hAnsi="宋体" w:eastAsia="宋体" w:cs="宋体"/>
          <w:color w:val="auto"/>
          <w:highlight w:val="none"/>
        </w:rPr>
        <w:t>第一章 竞争性磋商</w:t>
      </w:r>
      <w:bookmarkEnd w:id="2"/>
      <w:bookmarkEnd w:id="3"/>
      <w:bookmarkEnd w:id="4"/>
      <w:bookmarkEnd w:id="5"/>
      <w:bookmarkEnd w:id="6"/>
      <w:bookmarkEnd w:id="7"/>
      <w:r>
        <w:rPr>
          <w:rFonts w:hint="eastAsia" w:ascii="宋体" w:hAnsi="宋体" w:eastAsia="宋体" w:cs="宋体"/>
          <w:color w:val="auto"/>
          <w:highlight w:val="none"/>
        </w:rPr>
        <w:t>公告</w:t>
      </w:r>
      <w:bookmarkEnd w:id="8"/>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bookmarkStart w:id="9" w:name="EB15416889aca04531a0169e23c4604bc8"/>
      <w:r>
        <w:rPr>
          <w:rFonts w:hint="eastAsia" w:hAnsi="宋体" w:cs="宋体"/>
          <w:color w:val="auto"/>
          <w:highlight w:val="none"/>
          <w:lang w:eastAsia="zh-CN"/>
        </w:rPr>
        <w:t>湖北众恒永业工程项目管理有限公司</w:t>
      </w:r>
      <w:r>
        <w:rPr>
          <w:rFonts w:hint="eastAsia" w:ascii="宋体" w:hAnsi="宋体" w:eastAsia="宋体" w:cs="宋体"/>
          <w:color w:val="auto"/>
          <w:highlight w:val="none"/>
          <w:lang w:eastAsia="zh-CN"/>
        </w:rPr>
        <w:t>受</w:t>
      </w:r>
      <w:r>
        <w:rPr>
          <w:rFonts w:hint="eastAsia" w:hAnsi="宋体" w:cs="宋体"/>
          <w:color w:val="auto"/>
          <w:highlight w:val="none"/>
          <w:lang w:eastAsia="zh-CN"/>
        </w:rPr>
        <w:t>湖北姚家港绿色化工投资控股集团有限公司</w:t>
      </w:r>
      <w:r>
        <w:rPr>
          <w:rFonts w:hint="eastAsia" w:ascii="宋体" w:hAnsi="宋体" w:eastAsia="宋体" w:cs="宋体"/>
          <w:color w:val="auto"/>
          <w:highlight w:val="none"/>
          <w:lang w:eastAsia="zh-CN"/>
        </w:rPr>
        <w:t>的委托，就</w:t>
      </w:r>
      <w:r>
        <w:rPr>
          <w:rFonts w:hint="eastAsia" w:hAnsi="宋体" w:cs="宋体"/>
          <w:color w:val="auto"/>
          <w:highlight w:val="none"/>
          <w:lang w:eastAsia="zh-CN"/>
        </w:rPr>
        <w:t>姚家港化工特勤消防站项目监理单位采购</w:t>
      </w:r>
      <w:r>
        <w:rPr>
          <w:rFonts w:hint="eastAsia" w:ascii="宋体" w:hAnsi="宋体" w:eastAsia="宋体" w:cs="宋体"/>
          <w:color w:val="auto"/>
          <w:highlight w:val="none"/>
          <w:lang w:eastAsia="zh-CN"/>
        </w:rPr>
        <w:t>进行竞争性磋商，欢迎符合条件的供应商参加。</w:t>
      </w:r>
    </w:p>
    <w:p>
      <w:pPr>
        <w:pStyle w:val="31"/>
        <w:keepNext w:val="0"/>
        <w:keepLines w:val="0"/>
        <w:pageBreakBefore w:val="0"/>
        <w:kinsoku/>
        <w:wordWrap/>
        <w:overflowPunct/>
        <w:topLinePunct w:val="0"/>
        <w:autoSpaceDE/>
        <w:autoSpaceDN/>
        <w:bidi w:val="0"/>
        <w:adjustRightInd/>
        <w:snapToGrid/>
        <w:spacing w:line="400" w:lineRule="exact"/>
        <w:ind w:firstLine="482" w:firstLineChars="200"/>
        <w:textAlignment w:val="auto"/>
        <w:rPr>
          <w:rFonts w:hint="eastAsia" w:ascii="宋体" w:hAnsi="宋体" w:eastAsia="宋体" w:cs="宋体"/>
          <w:b/>
          <w:bCs/>
          <w:color w:val="auto"/>
          <w:highlight w:val="none"/>
          <w:lang w:eastAsia="zh-CN"/>
        </w:rPr>
      </w:pPr>
      <w:bookmarkStart w:id="10" w:name="_Toc12863"/>
      <w:r>
        <w:rPr>
          <w:rFonts w:hint="eastAsia" w:ascii="宋体" w:hAnsi="宋体" w:eastAsia="宋体" w:cs="宋体"/>
          <w:b/>
          <w:bCs/>
          <w:color w:val="auto"/>
          <w:highlight w:val="none"/>
          <w:lang w:eastAsia="zh-CN"/>
        </w:rPr>
        <w:t>一、项目概况：</w:t>
      </w:r>
      <w:bookmarkEnd w:id="10"/>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default" w:hAnsi="宋体" w:cs="宋体"/>
          <w:color w:val="auto"/>
          <w:highlight w:val="none"/>
          <w:lang w:val="en-US" w:eastAsia="zh-CN"/>
        </w:rPr>
      </w:pPr>
      <w:r>
        <w:rPr>
          <w:rFonts w:hint="eastAsia" w:ascii="宋体" w:hAnsi="宋体" w:eastAsia="宋体" w:cs="宋体"/>
          <w:color w:val="auto"/>
          <w:highlight w:val="none"/>
          <w:lang w:eastAsia="zh-CN"/>
        </w:rPr>
        <w:t>1</w:t>
      </w:r>
      <w:r>
        <w:rPr>
          <w:rFonts w:hint="eastAsia" w:hAnsi="宋体" w:eastAsia="宋体" w:cs="宋体"/>
          <w:color w:val="auto"/>
          <w:highlight w:val="none"/>
          <w:lang w:eastAsia="zh-CN"/>
        </w:rPr>
        <w:t>、</w:t>
      </w:r>
      <w:r>
        <w:rPr>
          <w:rFonts w:hint="eastAsia" w:ascii="宋体" w:hAnsi="宋体" w:eastAsia="宋体" w:cs="宋体"/>
          <w:color w:val="auto"/>
          <w:highlight w:val="none"/>
          <w:lang w:eastAsia="zh-CN"/>
        </w:rPr>
        <w:t>项目编号：</w:t>
      </w:r>
      <w:r>
        <w:rPr>
          <w:rFonts w:hint="eastAsia" w:hAnsi="宋体" w:cs="宋体"/>
          <w:color w:val="auto"/>
          <w:highlight w:val="none"/>
          <w:lang w:eastAsia="zh-CN"/>
        </w:rPr>
        <w:t>hbyjg2023-z071</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w:t>
      </w:r>
      <w:r>
        <w:rPr>
          <w:rFonts w:hint="eastAsia" w:hAnsi="宋体" w:eastAsia="宋体" w:cs="宋体"/>
          <w:color w:val="auto"/>
          <w:highlight w:val="none"/>
          <w:lang w:eastAsia="zh-CN"/>
        </w:rPr>
        <w:t>、</w:t>
      </w:r>
      <w:r>
        <w:rPr>
          <w:rFonts w:hint="eastAsia" w:ascii="宋体" w:hAnsi="宋体" w:eastAsia="宋体" w:cs="宋体"/>
          <w:color w:val="auto"/>
          <w:highlight w:val="none"/>
          <w:lang w:eastAsia="zh-CN"/>
        </w:rPr>
        <w:t>项目名称：</w:t>
      </w:r>
      <w:r>
        <w:rPr>
          <w:rFonts w:hint="eastAsia" w:hAnsi="宋体" w:cs="宋体"/>
          <w:color w:val="auto"/>
          <w:highlight w:val="none"/>
          <w:lang w:eastAsia="zh-CN"/>
        </w:rPr>
        <w:t>姚家港化工特勤消防站项目监理单位采购</w:t>
      </w:r>
    </w:p>
    <w:p>
      <w:pPr>
        <w:ind w:firstLine="480" w:firstLineChars="200"/>
        <w:rPr>
          <w:rFonts w:hint="eastAsia" w:ascii="宋体" w:hAnsi="宋体" w:eastAsia="宋体" w:cs="宋体"/>
          <w:color w:val="auto"/>
          <w:highlight w:val="none"/>
          <w:lang w:eastAsia="zh-CN"/>
        </w:rPr>
      </w:pPr>
      <w:r>
        <w:rPr>
          <w:rFonts w:hint="eastAsia" w:hAnsi="宋体" w:eastAsia="宋体" w:cs="宋体"/>
          <w:color w:val="auto"/>
          <w:highlight w:val="none"/>
          <w:lang w:val="en-US" w:eastAsia="zh-CN"/>
        </w:rPr>
        <w:t>3</w:t>
      </w:r>
      <w:r>
        <w:rPr>
          <w:rFonts w:hint="eastAsia" w:hAnsi="宋体" w:eastAsia="宋体" w:cs="宋体"/>
          <w:color w:val="auto"/>
          <w:highlight w:val="none"/>
          <w:lang w:eastAsia="zh-CN"/>
        </w:rPr>
        <w:t>、</w:t>
      </w:r>
      <w:r>
        <w:rPr>
          <w:rFonts w:hint="eastAsia" w:ascii="宋体" w:hAnsi="宋体" w:cs="宋体"/>
          <w:color w:val="auto"/>
          <w:highlight w:val="none"/>
          <w:lang w:val="en-US" w:eastAsia="zh-CN"/>
        </w:rPr>
        <w:t>监理范围</w:t>
      </w:r>
      <w:r>
        <w:rPr>
          <w:rFonts w:hint="eastAsia" w:hAnsi="宋体" w:cs="宋体"/>
          <w:color w:val="auto"/>
          <w:highlight w:val="none"/>
          <w:lang w:eastAsia="zh-CN"/>
        </w:rPr>
        <w:t>：总建筑面积5444.36平方米，其中：新建业务用房建筑面积4036.16平方米（含气防站200平方米），新建训练塔建筑面积433平方米，新建门房建筑面积87.04平方米，新建室内球场建筑面积888.16平方米，容积率0.4，建筑占地面积2818.42平方米，建筑密度21%。</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default" w:hAnsi="宋体" w:eastAsia="宋体" w:cs="宋体"/>
          <w:color w:val="auto"/>
          <w:highlight w:val="none"/>
          <w:lang w:val="en-US" w:eastAsia="zh-CN"/>
        </w:rPr>
      </w:pPr>
      <w:r>
        <w:rPr>
          <w:rFonts w:hint="eastAsia" w:hAnsi="宋体" w:eastAsia="宋体" w:cs="宋体"/>
          <w:color w:val="auto"/>
          <w:highlight w:val="none"/>
          <w:lang w:val="en-US" w:eastAsia="zh-CN"/>
        </w:rPr>
        <w:t>4、</w:t>
      </w:r>
      <w:r>
        <w:rPr>
          <w:rFonts w:hint="eastAsia" w:hAnsi="宋体" w:cs="宋体"/>
          <w:color w:val="auto"/>
          <w:highlight w:val="none"/>
          <w:lang w:val="en-US" w:eastAsia="zh-CN"/>
        </w:rPr>
        <w:t>服务内容</w:t>
      </w:r>
      <w:r>
        <w:rPr>
          <w:rFonts w:hint="eastAsia" w:hAnsi="宋体" w:eastAsia="宋体" w:cs="宋体"/>
          <w:color w:val="auto"/>
          <w:highlight w:val="none"/>
          <w:lang w:val="en-US" w:eastAsia="zh-CN"/>
        </w:rPr>
        <w:t>：施工图设计范围内全部工程建设内容</w:t>
      </w:r>
      <w:r>
        <w:rPr>
          <w:rFonts w:hint="eastAsia" w:hAnsi="宋体" w:cs="宋体"/>
          <w:color w:val="auto"/>
          <w:highlight w:val="none"/>
          <w:lang w:val="en-US" w:eastAsia="zh-CN"/>
        </w:rPr>
        <w:t>（</w:t>
      </w:r>
      <w:r>
        <w:rPr>
          <w:rFonts w:hint="eastAsia" w:hAnsi="宋体" w:eastAsia="宋体" w:cs="宋体"/>
          <w:color w:val="auto"/>
          <w:highlight w:val="none"/>
          <w:lang w:val="en-US" w:eastAsia="zh-CN"/>
        </w:rPr>
        <w:t>具体以采购人及图纸为准</w:t>
      </w:r>
      <w:r>
        <w:rPr>
          <w:rFonts w:hint="eastAsia" w:hAnsi="宋体" w:cs="宋体"/>
          <w:color w:val="auto"/>
          <w:highlight w:val="none"/>
          <w:lang w:val="en-US" w:eastAsia="zh-CN"/>
        </w:rPr>
        <w:t>）</w:t>
      </w:r>
      <w:r>
        <w:rPr>
          <w:rFonts w:hint="eastAsia" w:hAnsi="宋体" w:eastAsia="宋体" w:cs="宋体"/>
          <w:color w:val="auto"/>
          <w:highlight w:val="none"/>
          <w:lang w:val="en-US" w:eastAsia="zh-CN"/>
        </w:rPr>
        <w:t>的施工阶段监理、保修阶段监理</w:t>
      </w:r>
      <w:r>
        <w:rPr>
          <w:rFonts w:hint="eastAsia" w:hAnsi="宋体" w:cs="宋体"/>
          <w:color w:val="auto"/>
          <w:highlight w:val="none"/>
          <w:lang w:eastAsia="zh-CN"/>
        </w:rPr>
        <w:t>、工程变更以及与上述项目相关的一切施工内容的全过程监理</w:t>
      </w:r>
      <w:r>
        <w:rPr>
          <w:rFonts w:hint="eastAsia" w:ascii="宋体" w:hAnsi="宋体" w:cs="宋体"/>
          <w:color w:val="auto"/>
          <w:sz w:val="24"/>
          <w:szCs w:val="24"/>
          <w:highlight w:val="none"/>
        </w:rPr>
        <w:t>（协助前期施工准备和后期项目审计等）</w:t>
      </w:r>
      <w:r>
        <w:rPr>
          <w:rFonts w:hint="eastAsia" w:hAnsi="宋体" w:eastAsia="宋体" w:cs="宋体"/>
          <w:color w:val="auto"/>
          <w:highlight w:val="none"/>
          <w:lang w:val="en-US" w:eastAsia="zh-CN"/>
        </w:rPr>
        <w:t>。</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default" w:hAnsi="宋体" w:eastAsia="宋体" w:cs="宋体"/>
          <w:color w:val="auto"/>
          <w:highlight w:val="none"/>
          <w:lang w:val="en-US" w:eastAsia="zh-CN"/>
        </w:rPr>
      </w:pPr>
      <w:r>
        <w:rPr>
          <w:rFonts w:hint="eastAsia" w:hAnsi="宋体" w:cs="宋体"/>
          <w:color w:val="auto"/>
          <w:highlight w:val="none"/>
          <w:lang w:val="en-US" w:eastAsia="zh-CN"/>
        </w:rPr>
        <w:t>5、采购控制价：21万元。</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default" w:hAnsi="宋体" w:eastAsia="宋体" w:cs="宋体"/>
          <w:color w:val="auto"/>
          <w:highlight w:val="none"/>
          <w:lang w:val="en-US" w:eastAsia="zh-CN"/>
        </w:rPr>
      </w:pPr>
      <w:r>
        <w:rPr>
          <w:rFonts w:hint="eastAsia" w:hAnsi="宋体" w:eastAsia="宋体" w:cs="宋体"/>
          <w:color w:val="auto"/>
          <w:highlight w:val="none"/>
          <w:lang w:val="en-US" w:eastAsia="zh-CN"/>
        </w:rPr>
        <w:t>6</w:t>
      </w:r>
      <w:r>
        <w:rPr>
          <w:rFonts w:hint="default" w:hAnsi="宋体" w:eastAsia="宋体" w:cs="宋体"/>
          <w:color w:val="auto"/>
          <w:highlight w:val="none"/>
          <w:lang w:val="en-US" w:eastAsia="zh-CN"/>
        </w:rPr>
        <w:t>、质量控制目标：同施工合同质量要求。</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default" w:hAnsi="宋体" w:eastAsia="宋体" w:cs="宋体"/>
          <w:color w:val="auto"/>
          <w:highlight w:val="none"/>
          <w:lang w:val="en-US" w:eastAsia="zh-CN"/>
        </w:rPr>
      </w:pPr>
      <w:r>
        <w:rPr>
          <w:rFonts w:hint="eastAsia" w:hAnsi="宋体" w:eastAsia="宋体" w:cs="宋体"/>
          <w:color w:val="auto"/>
          <w:highlight w:val="none"/>
          <w:lang w:val="en-US" w:eastAsia="zh-CN"/>
        </w:rPr>
        <w:t>7</w:t>
      </w:r>
      <w:r>
        <w:rPr>
          <w:rFonts w:hint="default" w:hAnsi="宋体" w:eastAsia="宋体" w:cs="宋体"/>
          <w:color w:val="auto"/>
          <w:highlight w:val="none"/>
          <w:lang w:val="en-US" w:eastAsia="zh-CN"/>
        </w:rPr>
        <w:t>、工期控制目标：同施工合同工期要求。</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hAnsi="宋体" w:eastAsia="宋体" w:cs="宋体"/>
          <w:color w:val="auto"/>
          <w:highlight w:val="none"/>
          <w:lang w:val="en-US" w:eastAsia="zh-CN"/>
        </w:rPr>
      </w:pPr>
      <w:r>
        <w:rPr>
          <w:rFonts w:hint="eastAsia" w:hAnsi="宋体" w:eastAsia="宋体" w:cs="宋体"/>
          <w:color w:val="auto"/>
          <w:highlight w:val="none"/>
          <w:lang w:val="en-US" w:eastAsia="zh-CN"/>
        </w:rPr>
        <w:t>8</w:t>
      </w:r>
      <w:r>
        <w:rPr>
          <w:rFonts w:hint="default" w:hAnsi="宋体" w:eastAsia="宋体" w:cs="宋体"/>
          <w:color w:val="auto"/>
          <w:highlight w:val="none"/>
          <w:lang w:val="en-US" w:eastAsia="zh-CN"/>
        </w:rPr>
        <w:t>、安全生产控制目标：</w:t>
      </w:r>
      <w:r>
        <w:rPr>
          <w:rFonts w:hint="eastAsia" w:hAnsi="宋体" w:cs="宋体"/>
          <w:color w:val="auto"/>
          <w:highlight w:val="none"/>
          <w:lang w:val="en-US" w:eastAsia="zh-CN"/>
        </w:rPr>
        <w:t>达到《建筑施工安全检查标准》（JGJ59-2011）合格标准，避免发生安全事故。</w:t>
      </w:r>
    </w:p>
    <w:p>
      <w:pPr>
        <w:keepNext w:val="0"/>
        <w:keepLines w:val="0"/>
        <w:pageBreakBefore w:val="0"/>
        <w:kinsoku/>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FF0000"/>
          <w:highlight w:val="none"/>
          <w:lang w:val="en-US" w:eastAsia="zh-CN"/>
        </w:rPr>
      </w:pPr>
      <w:r>
        <w:rPr>
          <w:rFonts w:hint="eastAsia" w:ascii="宋体" w:hAnsi="宋体" w:eastAsia="宋体" w:cs="宋体"/>
          <w:color w:val="auto"/>
          <w:highlight w:val="none"/>
          <w:lang w:val="en-US" w:eastAsia="zh-CN"/>
        </w:rPr>
        <w:t>9、</w:t>
      </w:r>
      <w:r>
        <w:rPr>
          <w:rFonts w:hint="eastAsia" w:ascii="宋体" w:hAnsi="宋体" w:cs="宋体"/>
          <w:color w:val="auto"/>
          <w:sz w:val="24"/>
          <w:szCs w:val="24"/>
          <w:highlight w:val="none"/>
        </w:rPr>
        <w:t>计划监理与相关服务期：施工阶段监理服务期为</w:t>
      </w:r>
      <w:r>
        <w:rPr>
          <w:rFonts w:hint="eastAsia" w:ascii="宋体" w:hAnsi="宋体" w:cs="宋体"/>
          <w:color w:val="auto"/>
          <w:sz w:val="24"/>
          <w:szCs w:val="24"/>
          <w:highlight w:val="none"/>
          <w:lang w:eastAsia="zh-CN"/>
        </w:rPr>
        <w:t>实际</w:t>
      </w:r>
      <w:r>
        <w:rPr>
          <w:rFonts w:hint="eastAsia" w:ascii="宋体" w:hAnsi="宋体" w:cs="宋体"/>
          <w:color w:val="auto"/>
          <w:sz w:val="24"/>
          <w:szCs w:val="24"/>
          <w:highlight w:val="none"/>
        </w:rPr>
        <w:t>施工工期的基础上再增加60天；</w:t>
      </w:r>
      <w:r>
        <w:rPr>
          <w:rFonts w:hint="eastAsia" w:ascii="宋体" w:hAnsi="宋体" w:cs="宋体"/>
          <w:color w:val="auto"/>
          <w:sz w:val="24"/>
          <w:szCs w:val="24"/>
          <w:highlight w:val="none"/>
          <w:lang w:eastAsia="zh-CN"/>
        </w:rPr>
        <w:t>保修阶段监理服务期为工程竣工验收合格后</w:t>
      </w:r>
      <w:r>
        <w:rPr>
          <w:rFonts w:hint="eastAsia" w:ascii="宋体" w:hAnsi="宋体" w:cs="宋体"/>
          <w:color w:val="FF0000"/>
          <w:sz w:val="24"/>
          <w:szCs w:val="24"/>
          <w:highlight w:val="none"/>
          <w:lang w:val="en-US" w:eastAsia="zh-CN"/>
        </w:rPr>
        <w:t>2</w:t>
      </w:r>
      <w:r>
        <w:rPr>
          <w:rFonts w:hint="eastAsia" w:ascii="宋体" w:hAnsi="宋体" w:cs="宋体"/>
          <w:color w:val="auto"/>
          <w:sz w:val="24"/>
          <w:szCs w:val="24"/>
          <w:highlight w:val="none"/>
          <w:lang w:eastAsia="zh-CN"/>
        </w:rPr>
        <w:t>年。</w:t>
      </w:r>
    </w:p>
    <w:p>
      <w:pPr>
        <w:pStyle w:val="31"/>
        <w:keepNext w:val="0"/>
        <w:keepLines w:val="0"/>
        <w:pageBreakBefore w:val="0"/>
        <w:kinsoku/>
        <w:wordWrap/>
        <w:overflowPunct/>
        <w:topLinePunct w:val="0"/>
        <w:autoSpaceDE/>
        <w:autoSpaceDN/>
        <w:bidi w:val="0"/>
        <w:adjustRightInd/>
        <w:snapToGrid/>
        <w:spacing w:line="400" w:lineRule="exact"/>
        <w:ind w:firstLine="482" w:firstLineChars="200"/>
        <w:textAlignment w:val="auto"/>
        <w:rPr>
          <w:rFonts w:hint="eastAsia" w:ascii="宋体" w:hAnsi="宋体" w:eastAsia="宋体" w:cs="宋体"/>
          <w:b/>
          <w:bCs/>
          <w:color w:val="auto"/>
          <w:highlight w:val="none"/>
          <w:lang w:eastAsia="zh-CN"/>
        </w:rPr>
      </w:pPr>
      <w:bookmarkStart w:id="11" w:name="_Toc24570"/>
      <w:r>
        <w:rPr>
          <w:rFonts w:hint="eastAsia" w:ascii="宋体" w:hAnsi="宋体" w:eastAsia="宋体" w:cs="宋体"/>
          <w:b/>
          <w:bCs/>
          <w:color w:val="auto"/>
          <w:highlight w:val="none"/>
          <w:lang w:eastAsia="zh-CN"/>
        </w:rPr>
        <w:t>二、供应商资格要求：</w:t>
      </w:r>
      <w:bookmarkEnd w:id="11"/>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1、供应商应具备《政府采购法》第二十二条规定的条件。</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hAnsi="宋体" w:eastAsia="宋体" w:cs="宋体"/>
          <w:color w:val="auto"/>
          <w:highlight w:val="none"/>
          <w:lang w:val="en-US" w:eastAsia="zh-CN"/>
        </w:rPr>
        <w:t>2</w:t>
      </w:r>
      <w:r>
        <w:rPr>
          <w:rFonts w:hint="eastAsia" w:ascii="宋体" w:hAnsi="宋体" w:eastAsia="宋体" w:cs="宋体"/>
          <w:color w:val="auto"/>
          <w:highlight w:val="none"/>
          <w:lang w:eastAsia="zh-CN"/>
        </w:rPr>
        <w:t>、响应文件截止时间当天,“信用中国”网站、中国政府采购网查询，供应商未被列入信用记录失信被执行人、重大税收违法案件当事人名单、政府采购严重违法失信行为记录名单。</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hAnsi="宋体" w:eastAsia="宋体" w:cs="宋体"/>
          <w:color w:val="auto"/>
          <w:highlight w:val="none"/>
          <w:lang w:val="en-US" w:eastAsia="zh-CN"/>
        </w:rPr>
        <w:t>3</w:t>
      </w:r>
      <w:r>
        <w:rPr>
          <w:rFonts w:hint="eastAsia" w:ascii="宋体" w:hAnsi="宋体" w:eastAsia="宋体" w:cs="宋体"/>
          <w:color w:val="auto"/>
          <w:highlight w:val="none"/>
          <w:lang w:eastAsia="zh-CN"/>
        </w:rPr>
        <w:t>、为本项目提供整体设计、</w:t>
      </w:r>
      <w:r>
        <w:rPr>
          <w:rFonts w:hint="eastAsia" w:hAnsi="宋体" w:cs="宋体"/>
          <w:color w:val="auto"/>
          <w:highlight w:val="none"/>
          <w:lang w:val="en-US" w:eastAsia="zh-CN"/>
        </w:rPr>
        <w:t>技术</w:t>
      </w:r>
      <w:r>
        <w:rPr>
          <w:rFonts w:hint="eastAsia" w:ascii="宋体" w:hAnsi="宋体" w:eastAsia="宋体" w:cs="宋体"/>
          <w:color w:val="auto"/>
          <w:highlight w:val="none"/>
          <w:lang w:eastAsia="zh-CN"/>
        </w:rPr>
        <w:t>规范编制或者监理、检测等服务的供应商，不得再参加本项目的其他采购活动。</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hAnsi="宋体" w:eastAsia="宋体" w:cs="宋体"/>
          <w:color w:val="auto"/>
          <w:highlight w:val="none"/>
          <w:lang w:val="en-US" w:eastAsia="zh-CN"/>
        </w:rPr>
        <w:t>4</w:t>
      </w:r>
      <w:r>
        <w:rPr>
          <w:rFonts w:hint="eastAsia" w:ascii="宋体" w:hAnsi="宋体" w:eastAsia="宋体" w:cs="宋体"/>
          <w:color w:val="auto"/>
          <w:highlight w:val="none"/>
          <w:lang w:eastAsia="zh-CN"/>
        </w:rPr>
        <w:t>、本项目特殊要求：</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（1）供应商具有行政主管部门核发的有效法人营业执照，具有合法经营资格且能满足本项目采购要求。不得以分公司名义进行</w:t>
      </w:r>
      <w:r>
        <w:rPr>
          <w:rFonts w:hint="eastAsia" w:hAnsi="宋体" w:cs="宋体"/>
          <w:color w:val="auto"/>
          <w:highlight w:val="none"/>
          <w:lang w:eastAsia="zh-CN"/>
        </w:rPr>
        <w:t>磋商</w:t>
      </w:r>
      <w:r>
        <w:rPr>
          <w:rFonts w:hint="eastAsia" w:ascii="宋体" w:hAnsi="宋体" w:eastAsia="宋体" w:cs="宋体"/>
          <w:color w:val="auto"/>
          <w:highlight w:val="none"/>
          <w:lang w:eastAsia="zh-CN"/>
        </w:rPr>
        <w:t>，响应文件的单位盖章必须使用其法人公章，分公司盖章无效；（提供有效营业执照复印件并加盖公章）</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w:t>
      </w:r>
      <w:r>
        <w:rPr>
          <w:rFonts w:hint="eastAsia" w:hAnsi="宋体" w:cs="宋体"/>
          <w:color w:val="auto"/>
          <w:highlight w:val="none"/>
          <w:lang w:eastAsia="zh-CN"/>
        </w:rPr>
        <w:t>供应商需同时具备国家主管部门颁发的工程监理综合资质或房屋建筑工程监理乙级及以上资质。</w:t>
      </w:r>
      <w:r>
        <w:rPr>
          <w:rFonts w:hint="eastAsia" w:ascii="宋体" w:hAnsi="宋体" w:eastAsia="宋体" w:cs="宋体"/>
          <w:color w:val="auto"/>
          <w:highlight w:val="none"/>
          <w:lang w:eastAsia="zh-CN"/>
        </w:rPr>
        <w:t>（提供</w:t>
      </w:r>
      <w:r>
        <w:rPr>
          <w:rFonts w:hint="eastAsia" w:hAnsi="宋体" w:eastAsia="宋体" w:cs="宋体"/>
          <w:color w:val="auto"/>
          <w:highlight w:val="none"/>
          <w:lang w:eastAsia="zh-CN"/>
        </w:rPr>
        <w:t>资质证书</w:t>
      </w:r>
      <w:r>
        <w:rPr>
          <w:rFonts w:hint="eastAsia" w:ascii="宋体" w:hAnsi="宋体" w:eastAsia="宋体" w:cs="宋体"/>
          <w:color w:val="auto"/>
          <w:highlight w:val="none"/>
          <w:lang w:eastAsia="zh-CN"/>
        </w:rPr>
        <w:t>复印件</w:t>
      </w:r>
      <w:r>
        <w:rPr>
          <w:rFonts w:hint="eastAsia" w:hAnsi="宋体" w:eastAsia="宋体" w:cs="宋体"/>
          <w:color w:val="auto"/>
          <w:highlight w:val="none"/>
          <w:lang w:eastAsia="zh-CN"/>
        </w:rPr>
        <w:t>加盖公章</w:t>
      </w:r>
      <w:r>
        <w:rPr>
          <w:rFonts w:hint="eastAsia" w:ascii="宋体" w:hAnsi="宋体" w:eastAsia="宋体" w:cs="宋体"/>
          <w:color w:val="auto"/>
          <w:highlight w:val="none"/>
          <w:lang w:eastAsia="zh-CN"/>
        </w:rPr>
        <w:t>）</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hAnsi="宋体" w:cs="宋体"/>
          <w:color w:val="auto"/>
          <w:highlight w:val="none"/>
          <w:lang w:eastAsia="zh-CN"/>
        </w:rPr>
        <w:t>（</w:t>
      </w:r>
      <w:r>
        <w:rPr>
          <w:rFonts w:hint="eastAsia" w:hAnsi="宋体" w:cs="宋体"/>
          <w:color w:val="auto"/>
          <w:highlight w:val="none"/>
          <w:lang w:val="en-US" w:eastAsia="zh-CN"/>
        </w:rPr>
        <w:t>3</w:t>
      </w:r>
      <w:r>
        <w:rPr>
          <w:rFonts w:hint="eastAsia" w:hAnsi="宋体" w:cs="宋体"/>
          <w:color w:val="auto"/>
          <w:highlight w:val="none"/>
          <w:lang w:eastAsia="zh-CN"/>
        </w:rPr>
        <w:t>）供应商拟派本项目的监理机构人员（包括项目总监、专业监理工程师、</w:t>
      </w:r>
      <w:r>
        <w:rPr>
          <w:rFonts w:hint="eastAsia" w:hAnsi="宋体" w:cs="宋体"/>
          <w:color w:val="auto"/>
          <w:highlight w:val="none"/>
          <w:lang w:val="en-US" w:eastAsia="zh-CN"/>
        </w:rPr>
        <w:t>安全监理工程师、</w:t>
      </w:r>
      <w:r>
        <w:rPr>
          <w:rFonts w:hint="eastAsia" w:hAnsi="宋体" w:cs="宋体"/>
          <w:color w:val="auto"/>
          <w:highlight w:val="none"/>
          <w:lang w:eastAsia="zh-CN"/>
        </w:rPr>
        <w:t>监理员）总人数不少于</w:t>
      </w:r>
      <w:r>
        <w:rPr>
          <w:rFonts w:hint="eastAsia" w:hAnsi="宋体" w:cs="宋体"/>
          <w:color w:val="auto"/>
          <w:highlight w:val="none"/>
          <w:lang w:val="en-US" w:eastAsia="zh-CN"/>
        </w:rPr>
        <w:t>4</w:t>
      </w:r>
      <w:r>
        <w:rPr>
          <w:rFonts w:hint="eastAsia" w:hAnsi="宋体" w:cs="宋体"/>
          <w:color w:val="auto"/>
          <w:highlight w:val="none"/>
          <w:lang w:eastAsia="zh-CN"/>
        </w:rPr>
        <w:t>人（其中：项目总监1人，专业监理工程师不少于1人，</w:t>
      </w:r>
      <w:r>
        <w:rPr>
          <w:rFonts w:hint="eastAsia" w:hAnsi="宋体" w:cs="宋体"/>
          <w:color w:val="auto"/>
          <w:highlight w:val="none"/>
          <w:lang w:val="en-US" w:eastAsia="zh-CN"/>
        </w:rPr>
        <w:t>安全监理工程师不少于1人，</w:t>
      </w:r>
      <w:r>
        <w:rPr>
          <w:rFonts w:hint="eastAsia" w:hAnsi="宋体" w:cs="宋体"/>
          <w:color w:val="auto"/>
          <w:highlight w:val="none"/>
          <w:lang w:eastAsia="zh-CN"/>
        </w:rPr>
        <w:t>监理员不少于</w:t>
      </w:r>
      <w:r>
        <w:rPr>
          <w:rFonts w:hint="eastAsia" w:hAnsi="宋体" w:cs="宋体"/>
          <w:color w:val="auto"/>
          <w:highlight w:val="none"/>
          <w:lang w:val="en-US" w:eastAsia="zh-CN"/>
        </w:rPr>
        <w:t>1</w:t>
      </w:r>
      <w:r>
        <w:rPr>
          <w:rFonts w:hint="eastAsia" w:hAnsi="宋体" w:cs="宋体"/>
          <w:color w:val="auto"/>
          <w:highlight w:val="none"/>
          <w:lang w:eastAsia="zh-CN"/>
        </w:rPr>
        <w:t>人）。（若证书不在有效期内的，应由企业法人注册地的颁证部门（建设行政主管部门或行业协会）出具的文件或证明，并能如实反映上述考核内容。其中总监应取得国家注册监理工程师注册执业证书，且证书上记载的工作单位为该投标单位，专业为房屋建筑工程；专业监理工程师应取得国家注册监理工程师注册执业证书或《监理工程师培训教育证书》</w:t>
      </w:r>
      <w:r>
        <w:rPr>
          <w:rFonts w:hint="eastAsia" w:ascii="宋体" w:hAnsi="宋体" w:eastAsia="宋体" w:cs="宋体"/>
          <w:color w:val="auto"/>
          <w:highlight w:val="none"/>
          <w:lang w:eastAsia="zh-CN"/>
        </w:rPr>
        <w:t>（提供原件或复印件加盖公章）</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val="en-US" w:eastAsia="zh-CN"/>
        </w:rPr>
      </w:pPr>
      <w:r>
        <w:rPr>
          <w:rFonts w:hint="eastAsia" w:hAnsi="宋体" w:eastAsia="宋体" w:cs="宋体"/>
          <w:color w:val="auto"/>
          <w:highlight w:val="none"/>
          <w:lang w:val="en-US" w:eastAsia="zh-CN"/>
        </w:rPr>
        <w:t>（4）</w:t>
      </w:r>
      <w:r>
        <w:rPr>
          <w:rFonts w:hint="eastAsia" w:ascii="宋体" w:hAnsi="宋体" w:eastAsia="宋体" w:cs="宋体"/>
          <w:color w:val="auto"/>
          <w:highlight w:val="none"/>
          <w:lang w:val="en-US" w:eastAsia="zh-CN"/>
        </w:rPr>
        <w:t>拟派本工程的项目总监承诺在本工程实施期间最多只能同时担任三个工程的项目总监</w:t>
      </w:r>
      <w:r>
        <w:rPr>
          <w:color w:val="auto"/>
          <w:spacing w:val="-3"/>
          <w:sz w:val="24"/>
          <w:highlight w:val="none"/>
        </w:rPr>
        <w:t>，除此外不再承担其它工程项目监理任务。</w:t>
      </w:r>
      <w:r>
        <w:rPr>
          <w:rFonts w:hint="eastAsia" w:ascii="宋体" w:hAnsi="宋体" w:eastAsia="宋体" w:cs="宋体"/>
          <w:color w:val="auto"/>
          <w:highlight w:val="none"/>
          <w:lang w:val="en-US" w:eastAsia="zh-CN"/>
        </w:rPr>
        <w:t>（提供承诺书原件加盖公章）</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（5）拟派本项目的项目总监、专业监理工程师、</w:t>
      </w:r>
      <w:r>
        <w:rPr>
          <w:rFonts w:hint="eastAsia" w:hAnsi="宋体" w:cs="宋体"/>
          <w:color w:val="auto"/>
          <w:highlight w:val="none"/>
          <w:lang w:val="en-US" w:eastAsia="zh-CN"/>
        </w:rPr>
        <w:t>安全监理工程师、</w:t>
      </w:r>
      <w:r>
        <w:rPr>
          <w:rFonts w:hint="eastAsia" w:hAnsi="宋体" w:cs="宋体"/>
          <w:color w:val="auto"/>
          <w:highlight w:val="none"/>
          <w:lang w:eastAsia="zh-CN"/>
        </w:rPr>
        <w:t>监理员</w:t>
      </w:r>
      <w:r>
        <w:rPr>
          <w:rFonts w:hint="eastAsia" w:ascii="宋体" w:hAnsi="宋体" w:eastAsia="宋体" w:cs="宋体"/>
          <w:color w:val="auto"/>
          <w:highlight w:val="none"/>
          <w:lang w:val="en-US" w:eastAsia="zh-CN"/>
        </w:rPr>
        <w:t>应提供2023年度</w:t>
      </w:r>
      <w:r>
        <w:rPr>
          <w:rFonts w:hint="eastAsia" w:hAnsi="宋体" w:cs="宋体"/>
          <w:color w:val="auto"/>
          <w:highlight w:val="none"/>
          <w:lang w:val="en-US" w:eastAsia="zh-CN"/>
        </w:rPr>
        <w:t>6月-8月</w:t>
      </w:r>
      <w:r>
        <w:rPr>
          <w:color w:val="auto"/>
          <w:spacing w:val="-8"/>
          <w:sz w:val="24"/>
        </w:rPr>
        <w:t>的社会劳动保障部门出具的社会保险缴费证明</w:t>
      </w:r>
      <w:r>
        <w:rPr>
          <w:color w:val="auto"/>
          <w:sz w:val="24"/>
        </w:rPr>
        <w:t>（需加盖人社部门公章</w:t>
      </w:r>
      <w:r>
        <w:rPr>
          <w:color w:val="auto"/>
          <w:spacing w:val="-96"/>
          <w:sz w:val="24"/>
        </w:rPr>
        <w:t>）</w:t>
      </w:r>
      <w:r>
        <w:rPr>
          <w:color w:val="auto"/>
          <w:spacing w:val="-1"/>
          <w:sz w:val="24"/>
        </w:rPr>
        <w:t>且社保证明材料所记载的单位必须是该投标单位</w:t>
      </w:r>
      <w:r>
        <w:rPr>
          <w:rFonts w:hint="eastAsia"/>
          <w:color w:val="auto"/>
          <w:spacing w:val="-1"/>
          <w:sz w:val="24"/>
          <w:lang w:eastAsia="zh-CN"/>
        </w:rPr>
        <w:t>。</w:t>
      </w:r>
      <w:r>
        <w:rPr>
          <w:rFonts w:hint="eastAsia" w:ascii="宋体" w:hAnsi="宋体" w:eastAsia="宋体" w:cs="宋体"/>
          <w:color w:val="auto"/>
          <w:highlight w:val="none"/>
          <w:lang w:val="en-US" w:eastAsia="zh-CN"/>
        </w:rPr>
        <w:t>（</w:t>
      </w:r>
      <w:r>
        <w:rPr>
          <w:rFonts w:hint="eastAsia" w:hAnsi="宋体" w:cs="宋体"/>
          <w:color w:val="auto"/>
          <w:highlight w:val="none"/>
          <w:lang w:val="en-US" w:eastAsia="zh-CN"/>
        </w:rPr>
        <w:t>如因社保系统升级关闭无法提供文件要求的相关人员社保证明材料的，申请人应提供文件要求缴纳社保的承诺书（加盖申请人单位公章、法人章），格式自拟。</w:t>
      </w:r>
      <w:r>
        <w:rPr>
          <w:rFonts w:hint="eastAsia" w:ascii="宋体" w:hAnsi="宋体" w:eastAsia="宋体" w:cs="宋体"/>
          <w:color w:val="auto"/>
          <w:highlight w:val="none"/>
          <w:lang w:val="en-US" w:eastAsia="zh-CN"/>
        </w:rPr>
        <w:t>）</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hAnsi="宋体" w:eastAsia="宋体" w:cs="宋体"/>
          <w:color w:val="auto"/>
          <w:highlight w:val="none"/>
          <w:lang w:val="en-US" w:eastAsia="zh-CN"/>
        </w:rPr>
        <w:t>5、</w:t>
      </w:r>
      <w:r>
        <w:rPr>
          <w:rFonts w:hint="eastAsia" w:ascii="宋体" w:hAnsi="宋体" w:eastAsia="宋体" w:cs="宋体"/>
          <w:color w:val="auto"/>
          <w:highlight w:val="none"/>
          <w:lang w:eastAsia="zh-CN"/>
        </w:rPr>
        <w:t>本项目不接受联合体。</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hAnsi="宋体" w:eastAsia="宋体" w:cs="宋体"/>
          <w:color w:val="auto"/>
          <w:highlight w:val="none"/>
          <w:lang w:eastAsia="zh-CN"/>
        </w:rPr>
        <w:t>本项目采用资格后审方式，</w:t>
      </w:r>
      <w:r>
        <w:rPr>
          <w:rFonts w:hint="eastAsia" w:ascii="宋体" w:hAnsi="宋体" w:eastAsia="宋体" w:cs="宋体"/>
          <w:color w:val="auto"/>
          <w:highlight w:val="none"/>
          <w:lang w:eastAsia="zh-CN"/>
        </w:rPr>
        <w:t>只有符合以上所有条件的供应商才有可能通过资格审查，供应商在制作</w:t>
      </w:r>
      <w:r>
        <w:rPr>
          <w:rFonts w:hint="eastAsia" w:hAnsi="宋体" w:eastAsia="宋体" w:cs="宋体"/>
          <w:color w:val="auto"/>
          <w:highlight w:val="none"/>
          <w:lang w:eastAsia="zh-CN"/>
        </w:rPr>
        <w:t>响应</w:t>
      </w:r>
      <w:r>
        <w:rPr>
          <w:rFonts w:hint="eastAsia" w:ascii="宋体" w:hAnsi="宋体" w:eastAsia="宋体" w:cs="宋体"/>
          <w:color w:val="auto"/>
          <w:highlight w:val="none"/>
          <w:lang w:eastAsia="zh-CN"/>
        </w:rPr>
        <w:t>文件时，应对照上述资格审查要求在响应文件中提供相应证明材料的复印件并加盖公章（</w:t>
      </w:r>
      <w:r>
        <w:rPr>
          <w:rFonts w:hint="eastAsia" w:hAnsi="宋体" w:eastAsia="宋体" w:cs="宋体"/>
          <w:color w:val="auto"/>
          <w:highlight w:val="none"/>
          <w:lang w:eastAsia="zh-CN"/>
        </w:rPr>
        <w:t>复印件</w:t>
      </w:r>
      <w:r>
        <w:rPr>
          <w:rFonts w:hint="eastAsia" w:ascii="宋体" w:hAnsi="宋体" w:eastAsia="宋体" w:cs="宋体"/>
          <w:color w:val="auto"/>
          <w:highlight w:val="none"/>
          <w:lang w:eastAsia="zh-CN"/>
        </w:rPr>
        <w:t>需清晰可见），否则评委和采购人将不予采信。</w:t>
      </w:r>
    </w:p>
    <w:p>
      <w:pPr>
        <w:pStyle w:val="31"/>
        <w:keepNext w:val="0"/>
        <w:keepLines w:val="0"/>
        <w:pageBreakBefore w:val="0"/>
        <w:kinsoku/>
        <w:wordWrap/>
        <w:overflowPunct/>
        <w:topLinePunct w:val="0"/>
        <w:autoSpaceDE/>
        <w:autoSpaceDN/>
        <w:bidi w:val="0"/>
        <w:adjustRightInd/>
        <w:snapToGrid/>
        <w:spacing w:line="400" w:lineRule="exact"/>
        <w:ind w:firstLine="482" w:firstLineChars="200"/>
        <w:textAlignment w:val="auto"/>
        <w:rPr>
          <w:rFonts w:hint="eastAsia" w:ascii="宋体" w:hAnsi="宋体" w:eastAsia="宋体" w:cs="宋体"/>
          <w:b/>
          <w:bCs/>
          <w:color w:val="auto"/>
          <w:highlight w:val="none"/>
          <w:lang w:eastAsia="zh-CN"/>
        </w:rPr>
      </w:pPr>
      <w:bookmarkStart w:id="12" w:name="_Toc26676"/>
      <w:r>
        <w:rPr>
          <w:rFonts w:hint="eastAsia" w:ascii="宋体" w:hAnsi="宋体" w:eastAsia="宋体" w:cs="宋体"/>
          <w:b/>
          <w:bCs/>
          <w:color w:val="auto"/>
          <w:highlight w:val="none"/>
          <w:lang w:eastAsia="zh-CN"/>
        </w:rPr>
        <w:t>三、磋商文件的获取：</w:t>
      </w:r>
      <w:bookmarkEnd w:id="12"/>
    </w:p>
    <w:p>
      <w:pPr>
        <w:pStyle w:val="31"/>
        <w:keepNext w:val="0"/>
        <w:keepLines w:val="0"/>
        <w:pageBreakBefore w:val="0"/>
        <w:widowControl/>
        <w:kinsoku/>
        <w:wordWrap w:val="0"/>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1、文件发放时间：</w:t>
      </w:r>
      <w:r>
        <w:rPr>
          <w:rFonts w:hint="eastAsia" w:hAnsi="宋体" w:cs="宋体"/>
          <w:color w:val="auto"/>
          <w:highlight w:val="none"/>
          <w:lang w:eastAsia="zh-CN"/>
        </w:rPr>
        <w:t>2023年</w:t>
      </w:r>
      <w:r>
        <w:rPr>
          <w:rFonts w:hint="eastAsia" w:hAnsi="宋体" w:cs="宋体"/>
          <w:color w:val="auto"/>
          <w:highlight w:val="none"/>
          <w:lang w:val="en-US" w:eastAsia="zh-CN"/>
        </w:rPr>
        <w:t>09</w:t>
      </w:r>
      <w:r>
        <w:rPr>
          <w:rFonts w:hint="eastAsia" w:hAnsi="宋体" w:cs="宋体"/>
          <w:color w:val="auto"/>
          <w:highlight w:val="none"/>
          <w:lang w:eastAsia="zh-CN"/>
        </w:rPr>
        <w:t>月</w:t>
      </w:r>
      <w:r>
        <w:rPr>
          <w:rFonts w:hint="eastAsia" w:hAnsi="宋体" w:cs="宋体"/>
          <w:color w:val="auto"/>
          <w:highlight w:val="none"/>
          <w:lang w:val="en-US" w:eastAsia="zh-CN"/>
        </w:rPr>
        <w:t>14</w:t>
      </w:r>
      <w:r>
        <w:rPr>
          <w:rFonts w:hint="eastAsia" w:ascii="宋体" w:hAnsi="宋体" w:eastAsia="宋体" w:cs="宋体"/>
          <w:color w:val="auto"/>
          <w:highlight w:val="none"/>
          <w:lang w:eastAsia="zh-CN"/>
        </w:rPr>
        <w:t>日至</w:t>
      </w:r>
      <w:r>
        <w:rPr>
          <w:rFonts w:hint="eastAsia" w:hAnsi="宋体" w:cs="宋体"/>
          <w:color w:val="auto"/>
          <w:highlight w:val="none"/>
          <w:lang w:eastAsia="zh-CN"/>
        </w:rPr>
        <w:t>2023</w:t>
      </w:r>
      <w:r>
        <w:rPr>
          <w:rFonts w:hint="eastAsia" w:ascii="宋体" w:hAnsi="宋体" w:eastAsia="宋体" w:cs="宋体"/>
          <w:color w:val="auto"/>
          <w:highlight w:val="none"/>
          <w:lang w:eastAsia="zh-CN"/>
        </w:rPr>
        <w:t>年</w:t>
      </w:r>
      <w:r>
        <w:rPr>
          <w:rFonts w:hint="eastAsia" w:hAnsi="宋体" w:cs="宋体"/>
          <w:color w:val="auto"/>
          <w:highlight w:val="none"/>
          <w:lang w:val="en-US" w:eastAsia="zh-CN"/>
        </w:rPr>
        <w:t>09</w:t>
      </w:r>
      <w:r>
        <w:rPr>
          <w:rFonts w:hint="eastAsia" w:ascii="宋体" w:hAnsi="宋体" w:eastAsia="宋体" w:cs="宋体"/>
          <w:color w:val="auto"/>
          <w:highlight w:val="none"/>
          <w:lang w:eastAsia="zh-CN"/>
        </w:rPr>
        <w:t>月</w:t>
      </w:r>
      <w:r>
        <w:rPr>
          <w:rFonts w:hint="eastAsia" w:hAnsi="宋体" w:cs="宋体"/>
          <w:color w:val="auto"/>
          <w:highlight w:val="none"/>
          <w:lang w:val="en-US" w:eastAsia="zh-CN"/>
        </w:rPr>
        <w:t>20</w:t>
      </w:r>
      <w:r>
        <w:rPr>
          <w:rFonts w:hint="eastAsia" w:ascii="宋体" w:hAnsi="宋体" w:eastAsia="宋体" w:cs="宋体"/>
          <w:color w:val="auto"/>
          <w:highlight w:val="none"/>
          <w:lang w:eastAsia="zh-CN"/>
        </w:rPr>
        <w:t>日。</w:t>
      </w:r>
    </w:p>
    <w:p>
      <w:pPr>
        <w:pStyle w:val="31"/>
        <w:keepNext w:val="0"/>
        <w:keepLines w:val="0"/>
        <w:pageBreakBefore w:val="0"/>
        <w:widowControl/>
        <w:kinsoku/>
        <w:wordWrap w:val="0"/>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w:t>
      </w:r>
      <w:r>
        <w:rPr>
          <w:rFonts w:hint="eastAsia" w:hAnsi="宋体" w:eastAsia="宋体" w:cs="宋体"/>
          <w:color w:val="auto"/>
          <w:highlight w:val="none"/>
          <w:lang w:eastAsia="zh-CN"/>
        </w:rPr>
        <w:t>、</w:t>
      </w:r>
      <w:r>
        <w:rPr>
          <w:rFonts w:hint="eastAsia" w:ascii="宋体" w:hAnsi="宋体" w:eastAsia="宋体" w:cs="宋体"/>
          <w:color w:val="auto"/>
          <w:highlight w:val="none"/>
          <w:lang w:eastAsia="zh-CN"/>
        </w:rPr>
        <w:t>发放方式：本项目不进行现场报名、实行网上下载竞争性磋商文件，供应商登录</w:t>
      </w:r>
      <w:r>
        <w:rPr>
          <w:rFonts w:hint="eastAsia" w:hAnsi="宋体" w:cs="宋体"/>
          <w:color w:val="auto"/>
          <w:sz w:val="24"/>
          <w:szCs w:val="24"/>
          <w:highlight w:val="none"/>
          <w:lang w:eastAsia="zh-CN"/>
        </w:rPr>
        <w:t>枝江金润源集团公司官网（http://www.zjjryjt.cn/）或湖北姚家港绿色化工投资控股集团有限公司（http://www.hbghjt.cn/）</w:t>
      </w:r>
      <w:r>
        <w:rPr>
          <w:rFonts w:hint="eastAsia" w:ascii="宋体" w:hAnsi="宋体" w:eastAsia="宋体" w:cs="宋体"/>
          <w:color w:val="auto"/>
          <w:highlight w:val="none"/>
          <w:lang w:eastAsia="zh-CN"/>
        </w:rPr>
        <w:t>在公告附件中下载竞争性磋商文件。</w:t>
      </w:r>
    </w:p>
    <w:p>
      <w:pPr>
        <w:pStyle w:val="31"/>
        <w:keepNext w:val="0"/>
        <w:keepLines w:val="0"/>
        <w:pageBreakBefore w:val="0"/>
        <w:kinsoku/>
        <w:wordWrap/>
        <w:overflowPunct/>
        <w:topLinePunct w:val="0"/>
        <w:autoSpaceDE/>
        <w:autoSpaceDN/>
        <w:bidi w:val="0"/>
        <w:adjustRightInd/>
        <w:snapToGrid/>
        <w:spacing w:line="400" w:lineRule="exact"/>
        <w:ind w:firstLine="482" w:firstLineChars="200"/>
        <w:textAlignment w:val="auto"/>
        <w:rPr>
          <w:rFonts w:hint="eastAsia" w:ascii="宋体" w:hAnsi="宋体" w:eastAsia="宋体" w:cs="宋体"/>
          <w:b/>
          <w:bCs/>
          <w:color w:val="auto"/>
          <w:highlight w:val="none"/>
          <w:lang w:eastAsia="zh-CN"/>
        </w:rPr>
      </w:pPr>
      <w:bookmarkStart w:id="13" w:name="_Toc20597"/>
      <w:r>
        <w:rPr>
          <w:rFonts w:hint="eastAsia" w:ascii="宋体" w:hAnsi="宋体" w:eastAsia="宋体" w:cs="宋体"/>
          <w:b/>
          <w:bCs/>
          <w:color w:val="auto"/>
          <w:highlight w:val="none"/>
          <w:lang w:eastAsia="zh-CN"/>
        </w:rPr>
        <w:t>四、磋商保证金</w:t>
      </w:r>
      <w:bookmarkEnd w:id="13"/>
    </w:p>
    <w:p>
      <w:pPr>
        <w:pStyle w:val="31"/>
        <w:keepNext w:val="0"/>
        <w:keepLines w:val="0"/>
        <w:pageBreakBefore w:val="0"/>
        <w:kinsoku/>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bidi="ar"/>
        </w:rPr>
      </w:pPr>
      <w:bookmarkStart w:id="14" w:name="_Toc13656"/>
      <w:r>
        <w:rPr>
          <w:rFonts w:hint="eastAsia" w:ascii="宋体" w:hAnsi="宋体" w:eastAsia="宋体" w:cs="宋体"/>
          <w:color w:val="auto"/>
          <w:sz w:val="24"/>
          <w:szCs w:val="24"/>
          <w:highlight w:val="none"/>
          <w:lang w:bidi="ar"/>
        </w:rPr>
        <w:t>本项目</w:t>
      </w:r>
      <w:r>
        <w:rPr>
          <w:rFonts w:hint="eastAsia" w:hAnsi="宋体" w:eastAsia="宋体" w:cs="宋体"/>
          <w:color w:val="auto"/>
          <w:sz w:val="24"/>
          <w:szCs w:val="24"/>
          <w:highlight w:val="none"/>
          <w:lang w:eastAsia="zh-CN" w:bidi="ar"/>
        </w:rPr>
        <w:t>不</w:t>
      </w:r>
      <w:r>
        <w:rPr>
          <w:rFonts w:hint="eastAsia" w:ascii="宋体" w:hAnsi="宋体" w:eastAsia="宋体" w:cs="宋体"/>
          <w:color w:val="auto"/>
          <w:sz w:val="24"/>
          <w:szCs w:val="24"/>
          <w:highlight w:val="none"/>
          <w:lang w:bidi="ar"/>
        </w:rPr>
        <w:t>设置</w:t>
      </w:r>
      <w:r>
        <w:rPr>
          <w:rFonts w:hint="eastAsia" w:hAnsi="宋体" w:eastAsia="宋体" w:cs="宋体"/>
          <w:color w:val="auto"/>
          <w:sz w:val="24"/>
          <w:szCs w:val="24"/>
          <w:highlight w:val="none"/>
          <w:lang w:eastAsia="zh-CN" w:bidi="ar"/>
        </w:rPr>
        <w:t>磋商</w:t>
      </w:r>
      <w:r>
        <w:rPr>
          <w:rFonts w:hint="eastAsia" w:ascii="宋体" w:hAnsi="宋体" w:eastAsia="宋体" w:cs="宋体"/>
          <w:color w:val="auto"/>
          <w:sz w:val="24"/>
          <w:szCs w:val="24"/>
          <w:highlight w:val="none"/>
          <w:lang w:bidi="ar"/>
        </w:rPr>
        <w:t>保证金。</w:t>
      </w:r>
    </w:p>
    <w:p>
      <w:pPr>
        <w:pStyle w:val="31"/>
        <w:keepNext w:val="0"/>
        <w:keepLines w:val="0"/>
        <w:pageBreakBefore w:val="0"/>
        <w:kinsoku/>
        <w:wordWrap/>
        <w:overflowPunct/>
        <w:topLinePunct w:val="0"/>
        <w:autoSpaceDE/>
        <w:autoSpaceDN/>
        <w:bidi w:val="0"/>
        <w:adjustRightInd/>
        <w:snapToGrid/>
        <w:spacing w:line="400" w:lineRule="exact"/>
        <w:ind w:firstLine="482" w:firstLineChars="200"/>
        <w:textAlignment w:val="auto"/>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五、响应文件递交截止时间和送达地点：</w:t>
      </w:r>
      <w:bookmarkEnd w:id="14"/>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bookmarkStart w:id="15" w:name="_Toc3175"/>
      <w:r>
        <w:rPr>
          <w:rFonts w:hint="eastAsia" w:ascii="宋体" w:hAnsi="宋体" w:eastAsia="宋体" w:cs="宋体"/>
          <w:color w:val="auto"/>
          <w:highlight w:val="none"/>
          <w:lang w:eastAsia="zh-CN"/>
        </w:rPr>
        <w:t>1、响应文件递交截止时间：</w:t>
      </w:r>
      <w:r>
        <w:rPr>
          <w:rFonts w:hint="eastAsia" w:hAnsi="宋体" w:cs="宋体"/>
          <w:color w:val="auto"/>
          <w:highlight w:val="none"/>
          <w:lang w:eastAsia="zh-CN"/>
        </w:rPr>
        <w:t>2023</w:t>
      </w:r>
      <w:r>
        <w:rPr>
          <w:rFonts w:hint="eastAsia" w:ascii="宋体" w:hAnsi="宋体" w:eastAsia="宋体" w:cs="宋体"/>
          <w:color w:val="auto"/>
          <w:highlight w:val="none"/>
          <w:lang w:eastAsia="zh-CN"/>
        </w:rPr>
        <w:t>年</w:t>
      </w:r>
      <w:r>
        <w:rPr>
          <w:rFonts w:hint="eastAsia" w:hAnsi="宋体" w:cs="宋体"/>
          <w:color w:val="auto"/>
          <w:highlight w:val="none"/>
          <w:lang w:val="en-US" w:eastAsia="zh-CN"/>
        </w:rPr>
        <w:t>09</w:t>
      </w:r>
      <w:r>
        <w:rPr>
          <w:rFonts w:hint="eastAsia" w:ascii="宋体" w:hAnsi="宋体" w:eastAsia="宋体" w:cs="宋体"/>
          <w:color w:val="auto"/>
          <w:highlight w:val="none"/>
          <w:lang w:eastAsia="zh-CN"/>
        </w:rPr>
        <w:t>月</w:t>
      </w:r>
      <w:r>
        <w:rPr>
          <w:rFonts w:hint="eastAsia" w:hAnsi="宋体" w:cs="宋体"/>
          <w:color w:val="auto"/>
          <w:highlight w:val="none"/>
          <w:lang w:val="en-US" w:eastAsia="zh-CN"/>
        </w:rPr>
        <w:t>25</w:t>
      </w:r>
      <w:r>
        <w:rPr>
          <w:rFonts w:hint="eastAsia" w:ascii="宋体" w:hAnsi="宋体" w:eastAsia="宋体" w:cs="宋体"/>
          <w:color w:val="auto"/>
          <w:highlight w:val="none"/>
          <w:lang w:eastAsia="zh-CN"/>
        </w:rPr>
        <w:t>日</w:t>
      </w:r>
      <w:r>
        <w:rPr>
          <w:rFonts w:hint="eastAsia" w:hAnsi="宋体" w:cs="宋体"/>
          <w:color w:val="auto"/>
          <w:highlight w:val="none"/>
          <w:lang w:val="en-US" w:eastAsia="zh-CN"/>
        </w:rPr>
        <w:t>09</w:t>
      </w:r>
      <w:r>
        <w:rPr>
          <w:rFonts w:hint="eastAsia" w:ascii="宋体" w:hAnsi="宋体" w:eastAsia="宋体" w:cs="宋体"/>
          <w:color w:val="auto"/>
          <w:highlight w:val="none"/>
          <w:lang w:eastAsia="zh-CN"/>
        </w:rPr>
        <w:t>时</w:t>
      </w:r>
      <w:r>
        <w:rPr>
          <w:rFonts w:hint="eastAsia" w:hAnsi="宋体" w:cs="宋体"/>
          <w:color w:val="auto"/>
          <w:highlight w:val="none"/>
          <w:lang w:val="en-US" w:eastAsia="zh-CN"/>
        </w:rPr>
        <w:t>30</w:t>
      </w:r>
      <w:r>
        <w:rPr>
          <w:rFonts w:hint="eastAsia" w:ascii="宋体" w:hAnsi="宋体" w:eastAsia="宋体" w:cs="宋体"/>
          <w:color w:val="auto"/>
          <w:highlight w:val="none"/>
          <w:lang w:eastAsia="zh-CN"/>
        </w:rPr>
        <w:t>分（注：</w:t>
      </w:r>
      <w:r>
        <w:rPr>
          <w:rFonts w:hint="eastAsia" w:hAnsi="宋体" w:cs="宋体"/>
          <w:color w:val="auto"/>
          <w:highlight w:val="none"/>
          <w:lang w:val="en-US" w:eastAsia="zh-CN"/>
        </w:rPr>
        <w:t>09时00分</w:t>
      </w:r>
      <w:r>
        <w:rPr>
          <w:rFonts w:hint="eastAsia" w:ascii="宋体" w:hAnsi="宋体" w:eastAsia="宋体" w:cs="宋体"/>
          <w:color w:val="auto"/>
          <w:highlight w:val="none"/>
          <w:lang w:eastAsia="zh-CN"/>
        </w:rPr>
        <w:t>开始接受响应文件）</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2、响应文件送达地点：供应商应在响应文件提交的截止时间前，将密封的磋商响应文件现场递交至</w:t>
      </w:r>
      <w:r>
        <w:rPr>
          <w:rFonts w:hint="eastAsia" w:hAnsi="宋体" w:cs="宋体"/>
          <w:color w:val="auto"/>
          <w:highlight w:val="none"/>
          <w:lang w:eastAsia="zh-CN"/>
        </w:rPr>
        <w:t>湖北姚家港绿色化工投资控股集团有限公司（湖北省枝江市马家店街道迎宾大道118号）</w:t>
      </w:r>
      <w:r>
        <w:rPr>
          <w:rFonts w:hint="eastAsia" w:ascii="宋体" w:hAnsi="宋体" w:eastAsia="宋体" w:cs="宋体"/>
          <w:color w:val="auto"/>
          <w:highlight w:val="none"/>
          <w:lang w:eastAsia="zh-CN"/>
        </w:rPr>
        <w:t>3楼开标室。逾期送达的或未送达指定地点的或未按磋商文件要求密封的响应文件，采购人将拒收。</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3、本项目开标会将于响应文件递交截止的同一时间在</w:t>
      </w:r>
      <w:r>
        <w:rPr>
          <w:rFonts w:hint="eastAsia" w:hAnsi="宋体" w:cs="宋体"/>
          <w:color w:val="auto"/>
          <w:highlight w:val="none"/>
          <w:lang w:eastAsia="zh-CN"/>
        </w:rPr>
        <w:t>湖北姚家港绿色化工投资控股集团有限公司</w:t>
      </w:r>
      <w:r>
        <w:rPr>
          <w:rFonts w:hint="eastAsia" w:ascii="宋体" w:hAnsi="宋体" w:eastAsia="宋体" w:cs="宋体"/>
          <w:color w:val="auto"/>
          <w:highlight w:val="none"/>
          <w:lang w:eastAsia="zh-CN"/>
        </w:rPr>
        <w:t>3楼开标室公开进行，</w:t>
      </w:r>
      <w:r>
        <w:rPr>
          <w:rFonts w:hint="eastAsia" w:hAnsi="宋体" w:eastAsia="宋体" w:cs="宋体"/>
          <w:color w:val="auto"/>
          <w:highlight w:val="none"/>
          <w:lang w:eastAsia="zh-CN"/>
        </w:rPr>
        <w:t>供应商</w:t>
      </w:r>
      <w:r>
        <w:rPr>
          <w:rFonts w:hint="eastAsia" w:ascii="宋体" w:hAnsi="宋体" w:eastAsia="宋体" w:cs="宋体"/>
          <w:color w:val="auto"/>
          <w:highlight w:val="none"/>
          <w:lang w:eastAsia="zh-CN"/>
        </w:rPr>
        <w:t>的法定代表人或其委托代理人应携带有效身份证明文件（法定代表人身份证明或法人授权委托书）和第二代身份证原件在</w:t>
      </w:r>
      <w:r>
        <w:rPr>
          <w:rFonts w:hint="eastAsia" w:hAnsi="宋体" w:eastAsia="宋体" w:cs="宋体"/>
          <w:color w:val="auto"/>
          <w:highlight w:val="none"/>
          <w:lang w:eastAsia="zh-CN"/>
        </w:rPr>
        <w:t>磋商</w:t>
      </w:r>
      <w:r>
        <w:rPr>
          <w:rFonts w:hint="eastAsia" w:ascii="宋体" w:hAnsi="宋体" w:eastAsia="宋体" w:cs="宋体"/>
          <w:color w:val="auto"/>
          <w:highlight w:val="none"/>
          <w:lang w:eastAsia="zh-CN"/>
        </w:rPr>
        <w:t>截止时间前按时签到并参加开标会，否则将提交评审小组按竞争性磋商文件相关规定处理。</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4、响应文件递交截止时间与开标时间是否有变化，请关注本次采购过程中发布的更正公告或澄清修改文件中的相关信息。</w:t>
      </w:r>
    </w:p>
    <w:p>
      <w:pPr>
        <w:pStyle w:val="31"/>
        <w:keepNext w:val="0"/>
        <w:keepLines w:val="0"/>
        <w:pageBreakBefore w:val="0"/>
        <w:kinsoku/>
        <w:wordWrap/>
        <w:overflowPunct/>
        <w:topLinePunct w:val="0"/>
        <w:autoSpaceDE/>
        <w:autoSpaceDN/>
        <w:bidi w:val="0"/>
        <w:adjustRightInd/>
        <w:snapToGrid/>
        <w:spacing w:line="400" w:lineRule="exact"/>
        <w:ind w:firstLine="482" w:firstLineChars="200"/>
        <w:textAlignment w:val="auto"/>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六、磋商时间、地点：</w:t>
      </w:r>
      <w:bookmarkEnd w:id="15"/>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1、磋商时间：</w:t>
      </w:r>
      <w:r>
        <w:rPr>
          <w:rFonts w:hint="eastAsia" w:hAnsi="宋体" w:cs="宋体"/>
          <w:color w:val="auto"/>
          <w:highlight w:val="none"/>
          <w:lang w:eastAsia="zh-CN"/>
        </w:rPr>
        <w:t>2023</w:t>
      </w:r>
      <w:r>
        <w:rPr>
          <w:rFonts w:hint="eastAsia" w:ascii="宋体" w:hAnsi="宋体" w:eastAsia="宋体" w:cs="宋体"/>
          <w:color w:val="auto"/>
          <w:highlight w:val="none"/>
          <w:lang w:eastAsia="zh-CN"/>
        </w:rPr>
        <w:t>年</w:t>
      </w:r>
      <w:r>
        <w:rPr>
          <w:rFonts w:hint="eastAsia" w:hAnsi="宋体" w:cs="宋体"/>
          <w:color w:val="auto"/>
          <w:highlight w:val="none"/>
          <w:lang w:val="en-US" w:eastAsia="zh-CN"/>
        </w:rPr>
        <w:t>09</w:t>
      </w:r>
      <w:r>
        <w:rPr>
          <w:rFonts w:hint="eastAsia" w:ascii="宋体" w:hAnsi="宋体" w:eastAsia="宋体" w:cs="宋体"/>
          <w:color w:val="auto"/>
          <w:highlight w:val="none"/>
          <w:lang w:eastAsia="zh-CN"/>
        </w:rPr>
        <w:t>月</w:t>
      </w:r>
      <w:r>
        <w:rPr>
          <w:rFonts w:hint="eastAsia" w:hAnsi="宋体" w:cs="宋体"/>
          <w:color w:val="auto"/>
          <w:highlight w:val="none"/>
          <w:lang w:val="en-US" w:eastAsia="zh-CN"/>
        </w:rPr>
        <w:t>25</w:t>
      </w:r>
      <w:r>
        <w:rPr>
          <w:rFonts w:hint="eastAsia" w:ascii="宋体" w:hAnsi="宋体" w:eastAsia="宋体" w:cs="宋体"/>
          <w:color w:val="auto"/>
          <w:highlight w:val="none"/>
          <w:lang w:eastAsia="zh-CN"/>
        </w:rPr>
        <w:t>日</w:t>
      </w:r>
      <w:r>
        <w:rPr>
          <w:rFonts w:hint="eastAsia" w:hAnsi="宋体" w:cs="宋体"/>
          <w:color w:val="auto"/>
          <w:highlight w:val="none"/>
          <w:lang w:val="en-US" w:eastAsia="zh-CN"/>
        </w:rPr>
        <w:t>09</w:t>
      </w:r>
      <w:r>
        <w:rPr>
          <w:rFonts w:hint="eastAsia" w:ascii="宋体" w:hAnsi="宋体" w:eastAsia="宋体" w:cs="宋体"/>
          <w:color w:val="auto"/>
          <w:highlight w:val="none"/>
          <w:lang w:eastAsia="zh-CN"/>
        </w:rPr>
        <w:t>时</w:t>
      </w:r>
      <w:r>
        <w:rPr>
          <w:rFonts w:hint="eastAsia" w:hAnsi="宋体" w:cs="宋体"/>
          <w:color w:val="auto"/>
          <w:highlight w:val="none"/>
          <w:lang w:val="en-US" w:eastAsia="zh-CN"/>
        </w:rPr>
        <w:t>30</w:t>
      </w:r>
      <w:r>
        <w:rPr>
          <w:rFonts w:hint="eastAsia" w:ascii="宋体" w:hAnsi="宋体" w:eastAsia="宋体" w:cs="宋体"/>
          <w:color w:val="auto"/>
          <w:highlight w:val="none"/>
          <w:lang w:eastAsia="zh-CN"/>
        </w:rPr>
        <w:t>分</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2、磋商地点：</w:t>
      </w:r>
      <w:r>
        <w:rPr>
          <w:rFonts w:hint="eastAsia" w:hAnsi="宋体" w:cs="宋体"/>
          <w:color w:val="auto"/>
          <w:highlight w:val="none"/>
          <w:lang w:eastAsia="zh-CN"/>
        </w:rPr>
        <w:t>湖北姚家港绿色化工投资控股集团有限公司</w:t>
      </w:r>
      <w:r>
        <w:rPr>
          <w:rFonts w:hint="eastAsia" w:ascii="宋体" w:hAnsi="宋体" w:eastAsia="宋体" w:cs="宋体"/>
          <w:color w:val="auto"/>
          <w:highlight w:val="none"/>
          <w:lang w:eastAsia="zh-CN"/>
        </w:rPr>
        <w:t>（湖北省枝江市马家店街道迎宾大道118号）三楼开标室</w:t>
      </w:r>
    </w:p>
    <w:p>
      <w:pPr>
        <w:pStyle w:val="31"/>
        <w:keepNext w:val="0"/>
        <w:keepLines w:val="0"/>
        <w:pageBreakBefore w:val="0"/>
        <w:widowControl/>
        <w:kinsoku/>
        <w:wordWrap w:val="0"/>
        <w:overflowPunct/>
        <w:topLinePunct w:val="0"/>
        <w:autoSpaceDE/>
        <w:autoSpaceDN/>
        <w:bidi w:val="0"/>
        <w:adjustRightInd/>
        <w:snapToGrid/>
        <w:spacing w:line="400" w:lineRule="exact"/>
        <w:ind w:firstLine="482" w:firstLineChars="200"/>
        <w:textAlignment w:val="auto"/>
        <w:rPr>
          <w:rFonts w:hint="eastAsia" w:ascii="宋体" w:hAnsi="宋体" w:eastAsia="宋体" w:cs="宋体"/>
          <w:b/>
          <w:bCs/>
          <w:color w:val="auto"/>
          <w:highlight w:val="none"/>
          <w:lang w:eastAsia="zh-CN"/>
        </w:rPr>
      </w:pPr>
      <w:bookmarkStart w:id="16" w:name="_Toc6659"/>
      <w:r>
        <w:rPr>
          <w:rFonts w:hint="eastAsia" w:ascii="宋体" w:hAnsi="宋体" w:eastAsia="宋体" w:cs="宋体"/>
          <w:b/>
          <w:bCs/>
          <w:color w:val="auto"/>
          <w:highlight w:val="none"/>
          <w:lang w:eastAsia="zh-CN"/>
        </w:rPr>
        <w:t>七、公告发布媒体及公告期限：</w:t>
      </w:r>
      <w:bookmarkEnd w:id="16"/>
    </w:p>
    <w:p>
      <w:pPr>
        <w:pStyle w:val="31"/>
        <w:keepNext w:val="0"/>
        <w:keepLines w:val="0"/>
        <w:pageBreakBefore w:val="0"/>
        <w:widowControl/>
        <w:kinsoku/>
        <w:wordWrap w:val="0"/>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公告发布媒体：</w:t>
      </w:r>
      <w:r>
        <w:rPr>
          <w:rFonts w:hint="eastAsia" w:hAnsi="宋体" w:cs="宋体"/>
          <w:color w:val="auto"/>
          <w:sz w:val="24"/>
          <w:szCs w:val="24"/>
          <w:highlight w:val="none"/>
          <w:lang w:eastAsia="zh-CN"/>
        </w:rPr>
        <w:t>枝江金润源集团公司官网（http://www.zjjryjt.cn/）或湖北姚家港绿色化工投资控股集团有限公司（http://www.hbghjt.cn/）</w:t>
      </w:r>
      <w:r>
        <w:rPr>
          <w:rFonts w:hint="eastAsia" w:ascii="宋体" w:hAnsi="宋体" w:eastAsia="宋体" w:cs="宋体"/>
          <w:color w:val="auto"/>
          <w:highlight w:val="none"/>
          <w:lang w:eastAsia="zh-CN"/>
        </w:rPr>
        <w:t xml:space="preserve">自本公告发布之日起5个工作日。 </w:t>
      </w:r>
    </w:p>
    <w:p>
      <w:pPr>
        <w:pStyle w:val="31"/>
        <w:keepNext w:val="0"/>
        <w:keepLines w:val="0"/>
        <w:pageBreakBefore w:val="0"/>
        <w:kinsoku/>
        <w:wordWrap/>
        <w:overflowPunct/>
        <w:topLinePunct w:val="0"/>
        <w:autoSpaceDE/>
        <w:autoSpaceDN/>
        <w:bidi w:val="0"/>
        <w:adjustRightInd/>
        <w:snapToGrid/>
        <w:spacing w:line="400" w:lineRule="exact"/>
        <w:ind w:firstLine="482" w:firstLineChars="200"/>
        <w:textAlignment w:val="auto"/>
        <w:rPr>
          <w:rFonts w:hint="eastAsia" w:ascii="宋体" w:hAnsi="宋体" w:eastAsia="宋体" w:cs="宋体"/>
          <w:b/>
          <w:bCs/>
          <w:color w:val="auto"/>
          <w:highlight w:val="none"/>
          <w:lang w:eastAsia="zh-CN"/>
        </w:rPr>
      </w:pPr>
      <w:bookmarkStart w:id="17" w:name="_Toc3338"/>
      <w:r>
        <w:rPr>
          <w:rFonts w:hint="eastAsia" w:ascii="宋体" w:hAnsi="宋体" w:eastAsia="宋体" w:cs="宋体"/>
          <w:b/>
          <w:bCs/>
          <w:color w:val="auto"/>
          <w:highlight w:val="none"/>
          <w:lang w:eastAsia="zh-CN"/>
        </w:rPr>
        <w:t>八、联系方式：</w:t>
      </w:r>
      <w:bookmarkEnd w:id="17"/>
    </w:p>
    <w:p>
      <w:pPr>
        <w:keepNext w:val="0"/>
        <w:keepLines w:val="0"/>
        <w:pageBreakBefore w:val="0"/>
        <w:widowControl/>
        <w:kinsoku/>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采购人:</w:t>
      </w:r>
      <w:r>
        <w:rPr>
          <w:rFonts w:hint="eastAsia" w:ascii="宋体" w:hAnsi="宋体" w:eastAsia="宋体" w:cs="宋体"/>
          <w:color w:val="auto"/>
          <w:sz w:val="24"/>
          <w:szCs w:val="24"/>
          <w:highlight w:val="none"/>
          <w:lang w:eastAsia="zh-CN"/>
        </w:rPr>
        <w:t xml:space="preserve"> </w:t>
      </w:r>
      <w:r>
        <w:rPr>
          <w:rFonts w:hint="eastAsia" w:ascii="宋体" w:hAnsi="宋体" w:cs="宋体"/>
          <w:color w:val="auto"/>
          <w:sz w:val="24"/>
          <w:szCs w:val="24"/>
          <w:highlight w:val="none"/>
          <w:lang w:eastAsia="zh-CN"/>
        </w:rPr>
        <w:t>湖北姚家港绿色化工投资控股集团有限公司</w:t>
      </w:r>
      <w:r>
        <w:rPr>
          <w:rFonts w:hint="eastAsia" w:ascii="宋体" w:hAnsi="宋体" w:eastAsia="宋体" w:cs="宋体"/>
          <w:color w:val="auto"/>
          <w:sz w:val="24"/>
          <w:szCs w:val="24"/>
          <w:highlight w:val="none"/>
          <w:lang w:eastAsia="zh-CN"/>
        </w:rPr>
        <w:t xml:space="preserve">    </w:t>
      </w:r>
    </w:p>
    <w:p>
      <w:pPr>
        <w:keepNext w:val="0"/>
        <w:keepLines w:val="0"/>
        <w:pageBreakBefore w:val="0"/>
        <w:widowControl/>
        <w:kinsoku/>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lang w:val="en-US" w:eastAsia="zh-CN"/>
        </w:rPr>
        <w:t xml:space="preserve"> </w:t>
      </w:r>
      <w:r>
        <w:rPr>
          <w:rFonts w:hint="eastAsia" w:ascii="宋体" w:hAnsi="宋体" w:cs="宋体"/>
          <w:color w:val="auto"/>
          <w:sz w:val="24"/>
          <w:szCs w:val="24"/>
          <w:highlight w:val="none"/>
          <w:lang w:val="en-US" w:eastAsia="zh-CN"/>
        </w:rPr>
        <w:t>杨凡</w:t>
      </w:r>
    </w:p>
    <w:p>
      <w:pPr>
        <w:keepNext w:val="0"/>
        <w:keepLines w:val="0"/>
        <w:pageBreakBefore w:val="0"/>
        <w:widowControl/>
        <w:kinsoku/>
        <w:overflowPunct/>
        <w:topLinePunct w:val="0"/>
        <w:autoSpaceDE/>
        <w:autoSpaceDN/>
        <w:bidi w:val="0"/>
        <w:adjustRightInd/>
        <w:snapToGrid/>
        <w:spacing w:line="400" w:lineRule="exact"/>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联系电话:</w:t>
      </w:r>
      <w:r>
        <w:rPr>
          <w:rFonts w:hint="eastAsia" w:ascii="宋体" w:hAnsi="宋体" w:cs="宋体"/>
          <w:color w:val="auto"/>
          <w:sz w:val="24"/>
          <w:szCs w:val="24"/>
          <w:highlight w:val="none"/>
          <w:lang w:val="en-US" w:eastAsia="zh-CN"/>
        </w:rPr>
        <w:t>18671793040</w:t>
      </w:r>
    </w:p>
    <w:p>
      <w:pPr>
        <w:keepNext w:val="0"/>
        <w:keepLines w:val="0"/>
        <w:pageBreakBefore w:val="0"/>
        <w:kinsoku/>
        <w:overflowPunct/>
        <w:topLinePunct w:val="0"/>
        <w:autoSpaceDE/>
        <w:autoSpaceDN/>
        <w:bidi w:val="0"/>
        <w:adjustRightInd/>
        <w:snapToGrid/>
        <w:spacing w:line="400" w:lineRule="exact"/>
        <w:ind w:firstLine="480" w:firstLineChars="20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招标代理机构：</w:t>
      </w:r>
      <w:r>
        <w:rPr>
          <w:rFonts w:hint="eastAsia" w:ascii="宋体" w:hAnsi="宋体" w:cs="宋体"/>
          <w:color w:val="auto"/>
          <w:sz w:val="24"/>
          <w:szCs w:val="24"/>
          <w:highlight w:val="none"/>
          <w:lang w:eastAsia="zh-CN"/>
        </w:rPr>
        <w:t>湖北众恒永业工程项目管理有限公司</w:t>
      </w:r>
      <w:r>
        <w:rPr>
          <w:rFonts w:hint="eastAsia" w:ascii="宋体" w:hAnsi="宋体" w:cs="宋体"/>
          <w:color w:val="auto"/>
          <w:sz w:val="24"/>
          <w:szCs w:val="24"/>
          <w:highlight w:val="none"/>
        </w:rPr>
        <w:t xml:space="preserve">    </w:t>
      </w:r>
    </w:p>
    <w:p>
      <w:pPr>
        <w:keepNext w:val="0"/>
        <w:keepLines w:val="0"/>
        <w:pageBreakBefore w:val="0"/>
        <w:kinsoku/>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联 系 人：</w:t>
      </w:r>
      <w:r>
        <w:rPr>
          <w:rFonts w:hint="eastAsia" w:ascii="宋体" w:hAnsi="宋体" w:cs="宋体"/>
          <w:color w:val="auto"/>
          <w:sz w:val="24"/>
          <w:szCs w:val="24"/>
          <w:highlight w:val="none"/>
          <w:lang w:eastAsia="zh-CN"/>
        </w:rPr>
        <w:t>晏木兰</w:t>
      </w:r>
    </w:p>
    <w:p>
      <w:pPr>
        <w:keepNext w:val="0"/>
        <w:keepLines w:val="0"/>
        <w:pageBreakBefore w:val="0"/>
        <w:kinsoku/>
        <w:overflowPunct/>
        <w:topLinePunct w:val="0"/>
        <w:autoSpaceDE/>
        <w:autoSpaceDN/>
        <w:bidi w:val="0"/>
        <w:adjustRightInd/>
        <w:snapToGrid/>
        <w:spacing w:line="400" w:lineRule="exact"/>
        <w:ind w:firstLine="480" w:firstLineChars="20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联系电话：</w:t>
      </w:r>
      <w:r>
        <w:rPr>
          <w:rFonts w:hint="eastAsia" w:ascii="宋体" w:hAnsi="宋体" w:cs="宋体"/>
          <w:color w:val="auto"/>
          <w:sz w:val="24"/>
          <w:szCs w:val="24"/>
          <w:highlight w:val="none"/>
          <w:lang w:eastAsia="zh-CN"/>
        </w:rPr>
        <w:t>13872573055</w:t>
      </w:r>
    </w:p>
    <w:p>
      <w:pPr>
        <w:pStyle w:val="31"/>
        <w:kinsoku/>
        <w:wordWrap/>
        <w:overflowPunct/>
        <w:topLinePunct w:val="0"/>
        <w:bidi w:val="0"/>
        <w:spacing w:line="360" w:lineRule="auto"/>
        <w:ind w:firstLine="5520" w:firstLineChars="2300"/>
        <w:rPr>
          <w:rFonts w:hint="default" w:ascii="宋体" w:hAnsi="宋体" w:eastAsia="宋体" w:cs="宋体"/>
          <w:color w:val="auto"/>
          <w:highlight w:val="none"/>
          <w:lang w:val="en-US" w:eastAsia="zh-CN"/>
        </w:rPr>
      </w:pPr>
      <w:r>
        <w:rPr>
          <w:rFonts w:hint="eastAsia" w:hAnsi="宋体" w:cs="宋体"/>
          <w:color w:val="auto"/>
          <w:highlight w:val="none"/>
          <w:lang w:val="en-US" w:eastAsia="zh-CN"/>
        </w:rPr>
        <w:t>2023年09月14日</w:t>
      </w:r>
    </w:p>
    <w:bookmarkEnd w:id="9"/>
    <w:p>
      <w:pPr>
        <w:pStyle w:val="8"/>
        <w:kinsoku/>
        <w:wordWrap/>
        <w:overflowPunct/>
        <w:topLinePunct w:val="0"/>
        <w:bidi w:val="0"/>
        <w:spacing w:line="360" w:lineRule="auto"/>
        <w:rPr>
          <w:rFonts w:hint="eastAsia" w:ascii="宋体" w:hAnsi="宋体" w:eastAsia="宋体" w:cs="宋体"/>
          <w:color w:val="auto"/>
          <w:highlight w:val="none"/>
        </w:rPr>
      </w:pPr>
      <w:bookmarkStart w:id="18" w:name="_Toc459226620"/>
      <w:bookmarkStart w:id="19" w:name="_Toc459297210"/>
      <w:bookmarkStart w:id="20" w:name="_Toc10011"/>
      <w:bookmarkStart w:id="21" w:name="_Toc10123"/>
      <w:bookmarkStart w:id="22" w:name="_Toc459227370"/>
      <w:bookmarkStart w:id="23" w:name="_Toc459223844"/>
      <w:bookmarkStart w:id="24" w:name="_Toc459227603"/>
      <w:r>
        <w:rPr>
          <w:rFonts w:hint="eastAsia" w:ascii="宋体" w:hAnsi="宋体" w:eastAsia="宋体" w:cs="宋体"/>
          <w:color w:val="auto"/>
          <w:highlight w:val="none"/>
        </w:rPr>
        <w:t>第二章 供应商须知</w:t>
      </w:r>
      <w:bookmarkEnd w:id="18"/>
      <w:bookmarkEnd w:id="19"/>
      <w:bookmarkEnd w:id="20"/>
      <w:bookmarkEnd w:id="21"/>
      <w:bookmarkEnd w:id="22"/>
      <w:bookmarkEnd w:id="23"/>
      <w:bookmarkEnd w:id="24"/>
    </w:p>
    <w:p>
      <w:pPr>
        <w:kinsoku/>
        <w:wordWrap/>
        <w:overflowPunct/>
        <w:topLinePunct w:val="0"/>
        <w:bidi w:val="0"/>
        <w:spacing w:line="360" w:lineRule="auto"/>
        <w:jc w:val="center"/>
        <w:rPr>
          <w:rFonts w:hint="eastAsia" w:ascii="宋体" w:hAnsi="宋体" w:eastAsia="宋体" w:cs="宋体"/>
          <w:b/>
          <w:bCs/>
          <w:color w:val="auto"/>
          <w:highlight w:val="none"/>
        </w:rPr>
      </w:pPr>
      <w:bookmarkStart w:id="25" w:name="_Toc459227604"/>
      <w:bookmarkStart w:id="26" w:name="_Toc459223845"/>
      <w:bookmarkStart w:id="27" w:name="_Toc459227371"/>
      <w:bookmarkStart w:id="28" w:name="_Toc459226621"/>
      <w:bookmarkStart w:id="29" w:name="_Toc459297211"/>
      <w:r>
        <w:rPr>
          <w:rFonts w:hint="eastAsia" w:ascii="宋体" w:hAnsi="宋体" w:eastAsia="宋体" w:cs="宋体"/>
          <w:b/>
          <w:bCs/>
          <w:color w:val="auto"/>
          <w:highlight w:val="none"/>
        </w:rPr>
        <w:t>供应商须知前附表</w:t>
      </w:r>
      <w:bookmarkEnd w:id="25"/>
      <w:bookmarkEnd w:id="26"/>
      <w:bookmarkEnd w:id="27"/>
      <w:bookmarkEnd w:id="28"/>
      <w:bookmarkEnd w:id="29"/>
    </w:p>
    <w:tbl>
      <w:tblPr>
        <w:tblStyle w:val="17"/>
        <w:tblW w:w="8420"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96"/>
        <w:gridCol w:w="1340"/>
        <w:gridCol w:w="6284"/>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tblHeader/>
        </w:trPr>
        <w:tc>
          <w:tcPr>
            <w:tcW w:w="796" w:type="dxa"/>
            <w:noWrap w:val="0"/>
            <w:vAlign w:val="center"/>
          </w:tcPr>
          <w:p>
            <w:pPr>
              <w:kinsoku/>
              <w:wordWrap/>
              <w:overflowPunct/>
              <w:topLinePunct w:val="0"/>
              <w:bidi w:val="0"/>
              <w:adjustRightInd w:val="0"/>
              <w:snapToGrid w:val="0"/>
              <w:spacing w:before="120" w:beforeLines="50"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序列号</w:t>
            </w:r>
          </w:p>
        </w:tc>
        <w:tc>
          <w:tcPr>
            <w:tcW w:w="1340" w:type="dxa"/>
            <w:noWrap w:val="0"/>
            <w:vAlign w:val="center"/>
          </w:tcPr>
          <w:p>
            <w:pPr>
              <w:kinsoku/>
              <w:wordWrap/>
              <w:overflowPunct/>
              <w:topLinePunct w:val="0"/>
              <w:bidi w:val="0"/>
              <w:adjustRightInd w:val="0"/>
              <w:snapToGrid w:val="0"/>
              <w:spacing w:before="120" w:beforeLines="50"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条款名称</w:t>
            </w:r>
          </w:p>
        </w:tc>
        <w:tc>
          <w:tcPr>
            <w:tcW w:w="6284" w:type="dxa"/>
            <w:noWrap w:val="0"/>
            <w:vAlign w:val="center"/>
          </w:tcPr>
          <w:p>
            <w:pPr>
              <w:kinsoku/>
              <w:wordWrap/>
              <w:overflowPunct/>
              <w:topLinePunct w:val="0"/>
              <w:bidi w:val="0"/>
              <w:adjustRightInd w:val="0"/>
              <w:snapToGrid w:val="0"/>
              <w:spacing w:before="120" w:beforeLines="50"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编列内容规定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trPr>
        <w:tc>
          <w:tcPr>
            <w:tcW w:w="796" w:type="dxa"/>
            <w:noWrap w:val="0"/>
            <w:vAlign w:val="center"/>
          </w:tcPr>
          <w:p>
            <w:pPr>
              <w:kinsoku/>
              <w:wordWrap/>
              <w:overflowPunct/>
              <w:topLinePunct w:val="0"/>
              <w:bidi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340" w:type="dxa"/>
            <w:noWrap w:val="0"/>
            <w:vAlign w:val="center"/>
          </w:tcPr>
          <w:p>
            <w:pPr>
              <w:kinsoku/>
              <w:wordWrap/>
              <w:overflowPunct/>
              <w:topLinePunct w:val="0"/>
              <w:bidi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tc>
        <w:tc>
          <w:tcPr>
            <w:tcW w:w="6284" w:type="dxa"/>
            <w:noWrap w:val="0"/>
            <w:vAlign w:val="center"/>
          </w:tcPr>
          <w:p>
            <w:pPr>
              <w:kinsoku/>
              <w:wordWrap/>
              <w:overflowPunct/>
              <w:topLinePunct w:val="0"/>
              <w:bidi w:val="0"/>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姚家港化工特勤消防站项目监理单位采购</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90" w:hRule="atLeast"/>
        </w:trPr>
        <w:tc>
          <w:tcPr>
            <w:tcW w:w="796" w:type="dxa"/>
            <w:noWrap w:val="0"/>
            <w:vAlign w:val="center"/>
          </w:tcPr>
          <w:p>
            <w:pPr>
              <w:kinsoku/>
              <w:wordWrap/>
              <w:overflowPunct/>
              <w:topLinePunct w:val="0"/>
              <w:bidi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340" w:type="dxa"/>
            <w:noWrap w:val="0"/>
            <w:vAlign w:val="center"/>
          </w:tcPr>
          <w:p>
            <w:pPr>
              <w:kinsoku/>
              <w:wordWrap/>
              <w:overflowPunct/>
              <w:topLinePunct w:val="0"/>
              <w:bidi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w:t>
            </w:r>
          </w:p>
        </w:tc>
        <w:tc>
          <w:tcPr>
            <w:tcW w:w="6284" w:type="dxa"/>
            <w:noWrap w:val="0"/>
            <w:vAlign w:val="center"/>
          </w:tcPr>
          <w:p>
            <w:pPr>
              <w:kinsoku/>
              <w:wordWrap/>
              <w:overflowPunct/>
              <w:topLinePunct w:val="0"/>
              <w:bidi w:val="0"/>
              <w:spacing w:line="360" w:lineRule="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 xml:space="preserve">采购人: </w:t>
            </w:r>
            <w:r>
              <w:rPr>
                <w:rFonts w:hint="eastAsia" w:ascii="宋体" w:hAnsi="宋体" w:cs="宋体"/>
                <w:color w:val="auto"/>
                <w:sz w:val="24"/>
                <w:szCs w:val="24"/>
                <w:highlight w:val="none"/>
                <w:lang w:val="zh-CN" w:eastAsia="zh-CN"/>
              </w:rPr>
              <w:t>湖北姚家港绿色化工投资控股集团有限公司</w:t>
            </w:r>
            <w:r>
              <w:rPr>
                <w:rFonts w:hint="eastAsia" w:ascii="宋体" w:hAnsi="宋体" w:eastAsia="宋体" w:cs="宋体"/>
                <w:color w:val="auto"/>
                <w:sz w:val="24"/>
                <w:szCs w:val="24"/>
                <w:highlight w:val="none"/>
                <w:lang w:val="zh-CN" w:eastAsia="zh-CN"/>
              </w:rPr>
              <w:t xml:space="preserve">    </w:t>
            </w:r>
          </w:p>
          <w:p>
            <w:pPr>
              <w:kinsoku/>
              <w:wordWrap/>
              <w:overflowPunct/>
              <w:topLinePunct w:val="0"/>
              <w:bidi w:val="0"/>
              <w:spacing w:line="360" w:lineRule="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联系人:</w:t>
            </w:r>
            <w:r>
              <w:rPr>
                <w:rFonts w:hint="eastAsia" w:ascii="宋体" w:hAnsi="宋体" w:eastAsia="宋体" w:cs="宋体"/>
                <w:color w:val="auto"/>
                <w:sz w:val="24"/>
                <w:szCs w:val="24"/>
                <w:highlight w:val="none"/>
                <w:lang w:val="en-US" w:eastAsia="zh-CN"/>
              </w:rPr>
              <w:t xml:space="preserve"> </w:t>
            </w:r>
            <w:r>
              <w:rPr>
                <w:rFonts w:hint="eastAsia" w:ascii="宋体" w:hAnsi="宋体" w:cs="宋体"/>
                <w:color w:val="auto"/>
                <w:sz w:val="24"/>
                <w:szCs w:val="24"/>
                <w:highlight w:val="none"/>
                <w:lang w:val="en-US" w:eastAsia="zh-CN"/>
              </w:rPr>
              <w:t>杨凡</w:t>
            </w:r>
          </w:p>
          <w:p>
            <w:pPr>
              <w:kinsoku/>
              <w:wordWrap/>
              <w:overflowPunct/>
              <w:topLinePunct w:val="0"/>
              <w:bidi w:val="0"/>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联系电话:</w:t>
            </w:r>
            <w:r>
              <w:rPr>
                <w:rFonts w:hint="eastAsia" w:ascii="宋体" w:hAnsi="宋体" w:cs="宋体"/>
                <w:color w:val="auto"/>
                <w:sz w:val="24"/>
                <w:szCs w:val="24"/>
                <w:highlight w:val="none"/>
                <w:lang w:val="en-US" w:eastAsia="zh-CN"/>
              </w:rPr>
              <w:t>18671793040</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1175" w:hRule="atLeast"/>
        </w:trPr>
        <w:tc>
          <w:tcPr>
            <w:tcW w:w="796" w:type="dxa"/>
            <w:noWrap w:val="0"/>
            <w:vAlign w:val="center"/>
          </w:tcPr>
          <w:p>
            <w:pPr>
              <w:kinsoku/>
              <w:wordWrap/>
              <w:overflowPunct/>
              <w:topLinePunct w:val="0"/>
              <w:bidi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340" w:type="dxa"/>
            <w:noWrap w:val="0"/>
            <w:vAlign w:val="center"/>
          </w:tcPr>
          <w:p>
            <w:pPr>
              <w:kinsoku/>
              <w:wordWrap/>
              <w:overflowPunct/>
              <w:topLinePunct w:val="0"/>
              <w:bidi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采购代理机构</w:t>
            </w:r>
          </w:p>
        </w:tc>
        <w:tc>
          <w:tcPr>
            <w:tcW w:w="6284" w:type="dxa"/>
            <w:noWrap w:val="0"/>
            <w:vAlign w:val="center"/>
          </w:tcPr>
          <w:p>
            <w:pPr>
              <w:kinsoku/>
              <w:wordWrap/>
              <w:overflowPunct/>
              <w:topLinePunct w:val="0"/>
              <w:bidi w:val="0"/>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  称：</w:t>
            </w:r>
            <w:r>
              <w:rPr>
                <w:rFonts w:hint="eastAsia" w:ascii="宋体" w:hAnsi="宋体" w:cs="宋体"/>
                <w:color w:val="auto"/>
                <w:sz w:val="24"/>
                <w:szCs w:val="24"/>
                <w:highlight w:val="none"/>
                <w:lang w:eastAsia="zh-CN"/>
              </w:rPr>
              <w:t>湖北众恒永业工程项目管理有限公司</w:t>
            </w:r>
          </w:p>
          <w:p>
            <w:pPr>
              <w:kinsoku/>
              <w:wordWrap/>
              <w:overflowPunct/>
              <w:topLinePunct w:val="0"/>
              <w:bidi w:val="0"/>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 xml:space="preserve">联系人: </w:t>
            </w:r>
            <w:r>
              <w:rPr>
                <w:rFonts w:hint="eastAsia" w:ascii="宋体" w:hAnsi="宋体" w:cs="宋体"/>
                <w:color w:val="auto"/>
                <w:sz w:val="24"/>
                <w:szCs w:val="24"/>
                <w:highlight w:val="none"/>
                <w:lang w:eastAsia="zh-CN"/>
              </w:rPr>
              <w:t>晏木兰</w:t>
            </w:r>
          </w:p>
          <w:p>
            <w:pPr>
              <w:kinsoku/>
              <w:wordWrap/>
              <w:overflowPunct/>
              <w:topLinePunct w:val="0"/>
              <w:bidi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联系电话：</w:t>
            </w:r>
            <w:r>
              <w:rPr>
                <w:rFonts w:hint="eastAsia" w:ascii="宋体" w:hAnsi="宋体" w:cs="宋体"/>
                <w:color w:val="auto"/>
                <w:sz w:val="24"/>
                <w:szCs w:val="24"/>
                <w:highlight w:val="none"/>
                <w:lang w:eastAsia="zh-CN"/>
              </w:rPr>
              <w:t>13872573055</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1220" w:hRule="atLeast"/>
        </w:trPr>
        <w:tc>
          <w:tcPr>
            <w:tcW w:w="796" w:type="dxa"/>
            <w:noWrap w:val="0"/>
            <w:vAlign w:val="center"/>
          </w:tcPr>
          <w:p>
            <w:pPr>
              <w:kinsoku/>
              <w:wordWrap/>
              <w:overflowPunct/>
              <w:topLinePunct w:val="0"/>
              <w:bidi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340" w:type="dxa"/>
            <w:noWrap w:val="0"/>
            <w:vAlign w:val="center"/>
          </w:tcPr>
          <w:p>
            <w:pPr>
              <w:kinsoku/>
              <w:wordWrap/>
              <w:overflowPunct/>
              <w:topLinePunct w:val="0"/>
              <w:bidi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监管部门</w:t>
            </w:r>
          </w:p>
        </w:tc>
        <w:tc>
          <w:tcPr>
            <w:tcW w:w="6284" w:type="dxa"/>
            <w:noWrap w:val="0"/>
            <w:vAlign w:val="top"/>
          </w:tcPr>
          <w:p>
            <w:pPr>
              <w:kinsoku/>
              <w:wordWrap/>
              <w:overflowPunct/>
              <w:topLinePunct w:val="0"/>
              <w:bidi w:val="0"/>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名称：</w:t>
            </w:r>
            <w:r>
              <w:rPr>
                <w:rFonts w:hint="eastAsia" w:ascii="宋体" w:hAnsi="宋体" w:cs="宋体"/>
                <w:color w:val="auto"/>
                <w:sz w:val="24"/>
                <w:szCs w:val="24"/>
                <w:highlight w:val="none"/>
                <w:lang w:val="en-US" w:eastAsia="zh-CN"/>
              </w:rPr>
              <w:t>湖北姚家港绿色化工投资控股集团有限公司</w:t>
            </w:r>
            <w:r>
              <w:rPr>
                <w:rFonts w:hint="eastAsia" w:ascii="宋体" w:hAnsi="宋体" w:eastAsia="宋体" w:cs="宋体"/>
                <w:color w:val="auto"/>
                <w:sz w:val="24"/>
                <w:szCs w:val="24"/>
                <w:highlight w:val="none"/>
                <w:lang w:val="en-US" w:eastAsia="zh-CN"/>
              </w:rPr>
              <w:t>监督部门</w:t>
            </w:r>
          </w:p>
          <w:p>
            <w:pPr>
              <w:kinsoku/>
              <w:wordWrap/>
              <w:overflowPunct/>
              <w:topLinePunct w:val="0"/>
              <w:bidi w:val="0"/>
              <w:spacing w:line="360" w:lineRule="auto"/>
              <w:jc w:val="left"/>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地址：枝江</w:t>
            </w:r>
            <w:r>
              <w:rPr>
                <w:rFonts w:hint="eastAsia" w:ascii="宋体" w:hAnsi="宋体" w:cs="宋体"/>
                <w:color w:val="auto"/>
                <w:sz w:val="24"/>
                <w:szCs w:val="24"/>
                <w:highlight w:val="none"/>
                <w:lang w:val="en-US" w:eastAsia="zh-CN"/>
              </w:rPr>
              <w:t>余家溪社区</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2" w:hRule="atLeast"/>
        </w:trPr>
        <w:tc>
          <w:tcPr>
            <w:tcW w:w="796" w:type="dxa"/>
            <w:noWrap w:val="0"/>
            <w:vAlign w:val="center"/>
          </w:tcPr>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340" w:type="dxa"/>
            <w:noWrap w:val="0"/>
            <w:vAlign w:val="center"/>
          </w:tcPr>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供应商资格条件</w:t>
            </w:r>
          </w:p>
        </w:tc>
        <w:tc>
          <w:tcPr>
            <w:tcW w:w="6284" w:type="dxa"/>
            <w:noWrap w:val="0"/>
            <w:vAlign w:val="center"/>
          </w:tcPr>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1、供应商应具备《政府采购法》第二十二条规定的条件。</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hAnsi="宋体" w:eastAsia="宋体" w:cs="宋体"/>
                <w:color w:val="auto"/>
                <w:highlight w:val="none"/>
                <w:lang w:val="en-US" w:eastAsia="zh-CN"/>
              </w:rPr>
              <w:t>2</w:t>
            </w:r>
            <w:r>
              <w:rPr>
                <w:rFonts w:hint="eastAsia" w:ascii="宋体" w:hAnsi="宋体" w:eastAsia="宋体" w:cs="宋体"/>
                <w:color w:val="auto"/>
                <w:highlight w:val="none"/>
                <w:lang w:eastAsia="zh-CN"/>
              </w:rPr>
              <w:t>、响应文件截止时间当天,“信用中国”网站、中国政府采购网查询，供应商未被列入信用记录失信被执行人、重大税收违法案件当事人名单、政府采购严重违法失信行为记录名单。</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hAnsi="宋体" w:eastAsia="宋体" w:cs="宋体"/>
                <w:color w:val="auto"/>
                <w:highlight w:val="none"/>
                <w:lang w:val="en-US" w:eastAsia="zh-CN"/>
              </w:rPr>
              <w:t>3</w:t>
            </w:r>
            <w:r>
              <w:rPr>
                <w:rFonts w:hint="eastAsia" w:ascii="宋体" w:hAnsi="宋体" w:eastAsia="宋体" w:cs="宋体"/>
                <w:color w:val="auto"/>
                <w:highlight w:val="none"/>
                <w:lang w:eastAsia="zh-CN"/>
              </w:rPr>
              <w:t>、为本项目提供整体设计、</w:t>
            </w:r>
            <w:r>
              <w:rPr>
                <w:rFonts w:hint="eastAsia" w:hAnsi="宋体" w:cs="宋体"/>
                <w:color w:val="auto"/>
                <w:highlight w:val="none"/>
                <w:lang w:val="en-US" w:eastAsia="zh-CN"/>
              </w:rPr>
              <w:t>技术</w:t>
            </w:r>
            <w:r>
              <w:rPr>
                <w:rFonts w:hint="eastAsia" w:ascii="宋体" w:hAnsi="宋体" w:eastAsia="宋体" w:cs="宋体"/>
                <w:color w:val="auto"/>
                <w:highlight w:val="none"/>
                <w:lang w:eastAsia="zh-CN"/>
              </w:rPr>
              <w:t>规范编制或者监理、检测等服务的供应商，不得再参加本项目的其他采购活动。</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hAnsi="宋体" w:eastAsia="宋体" w:cs="宋体"/>
                <w:color w:val="auto"/>
                <w:highlight w:val="none"/>
                <w:lang w:val="en-US" w:eastAsia="zh-CN"/>
              </w:rPr>
              <w:t>4</w:t>
            </w:r>
            <w:r>
              <w:rPr>
                <w:rFonts w:hint="eastAsia" w:ascii="宋体" w:hAnsi="宋体" w:eastAsia="宋体" w:cs="宋体"/>
                <w:color w:val="auto"/>
                <w:highlight w:val="none"/>
                <w:lang w:eastAsia="zh-CN"/>
              </w:rPr>
              <w:t>、本项目特殊要求：</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（1）供应商具有行政主管部门核发的有效法人营业执照，具有合法经营资格且能满足本项目采购要求。不得以分公司名义进行</w:t>
            </w:r>
            <w:r>
              <w:rPr>
                <w:rFonts w:hint="eastAsia" w:hAnsi="宋体" w:cs="宋体"/>
                <w:color w:val="auto"/>
                <w:highlight w:val="none"/>
                <w:lang w:eastAsia="zh-CN"/>
              </w:rPr>
              <w:t>磋商</w:t>
            </w:r>
            <w:r>
              <w:rPr>
                <w:rFonts w:hint="eastAsia" w:ascii="宋体" w:hAnsi="宋体" w:eastAsia="宋体" w:cs="宋体"/>
                <w:color w:val="auto"/>
                <w:highlight w:val="none"/>
                <w:lang w:eastAsia="zh-CN"/>
              </w:rPr>
              <w:t>，响应文件的单位盖章必须使用其法人公章，分公司盖章无效；（提供有效营业执照复印件并加盖公章）</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w:t>
            </w:r>
            <w:r>
              <w:rPr>
                <w:rFonts w:hint="eastAsia" w:hAnsi="宋体" w:cs="宋体"/>
                <w:color w:val="auto"/>
                <w:highlight w:val="none"/>
                <w:lang w:eastAsia="zh-CN"/>
              </w:rPr>
              <w:t>供应商需同时具备国家主管部门颁发的工程监理综合资质或房屋建筑工程监理乙级及以上资质。</w:t>
            </w:r>
            <w:r>
              <w:rPr>
                <w:rFonts w:hint="eastAsia" w:ascii="宋体" w:hAnsi="宋体" w:eastAsia="宋体" w:cs="宋体"/>
                <w:color w:val="auto"/>
                <w:highlight w:val="none"/>
                <w:lang w:eastAsia="zh-CN"/>
              </w:rPr>
              <w:t>（提供</w:t>
            </w:r>
            <w:r>
              <w:rPr>
                <w:rFonts w:hint="eastAsia" w:hAnsi="宋体" w:eastAsia="宋体" w:cs="宋体"/>
                <w:color w:val="auto"/>
                <w:highlight w:val="none"/>
                <w:lang w:eastAsia="zh-CN"/>
              </w:rPr>
              <w:t>资质证书</w:t>
            </w:r>
            <w:r>
              <w:rPr>
                <w:rFonts w:hint="eastAsia" w:ascii="宋体" w:hAnsi="宋体" w:eastAsia="宋体" w:cs="宋体"/>
                <w:color w:val="auto"/>
                <w:highlight w:val="none"/>
                <w:lang w:eastAsia="zh-CN"/>
              </w:rPr>
              <w:t>复印件</w:t>
            </w:r>
            <w:r>
              <w:rPr>
                <w:rFonts w:hint="eastAsia" w:hAnsi="宋体" w:eastAsia="宋体" w:cs="宋体"/>
                <w:color w:val="auto"/>
                <w:highlight w:val="none"/>
                <w:lang w:eastAsia="zh-CN"/>
              </w:rPr>
              <w:t>加盖公章</w:t>
            </w:r>
            <w:r>
              <w:rPr>
                <w:rFonts w:hint="eastAsia" w:ascii="宋体" w:hAnsi="宋体" w:eastAsia="宋体" w:cs="宋体"/>
                <w:color w:val="auto"/>
                <w:highlight w:val="none"/>
                <w:lang w:eastAsia="zh-CN"/>
              </w:rPr>
              <w:t>）</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w:t>
            </w:r>
            <w:r>
              <w:rPr>
                <w:rFonts w:hint="eastAsia" w:hAnsi="宋体" w:cs="宋体"/>
                <w:color w:val="auto"/>
                <w:highlight w:val="none"/>
                <w:lang w:eastAsia="zh-CN"/>
              </w:rPr>
              <w:t>供应商拟派本项目的监理机构人员（包括项目总监、专业监理工程师、</w:t>
            </w:r>
            <w:r>
              <w:rPr>
                <w:rFonts w:hint="eastAsia" w:hAnsi="宋体" w:cs="宋体"/>
                <w:color w:val="auto"/>
                <w:highlight w:val="none"/>
                <w:lang w:val="en-US" w:eastAsia="zh-CN"/>
              </w:rPr>
              <w:t>安全监理工程师、</w:t>
            </w:r>
            <w:r>
              <w:rPr>
                <w:rFonts w:hint="eastAsia" w:hAnsi="宋体" w:cs="宋体"/>
                <w:color w:val="auto"/>
                <w:highlight w:val="none"/>
                <w:lang w:eastAsia="zh-CN"/>
              </w:rPr>
              <w:t>监理员）总人数不少于</w:t>
            </w:r>
            <w:r>
              <w:rPr>
                <w:rFonts w:hint="eastAsia" w:hAnsi="宋体" w:cs="宋体"/>
                <w:color w:val="auto"/>
                <w:highlight w:val="none"/>
                <w:lang w:val="en-US" w:eastAsia="zh-CN"/>
              </w:rPr>
              <w:t>4</w:t>
            </w:r>
            <w:r>
              <w:rPr>
                <w:rFonts w:hint="eastAsia" w:hAnsi="宋体" w:cs="宋体"/>
                <w:color w:val="auto"/>
                <w:highlight w:val="none"/>
                <w:lang w:eastAsia="zh-CN"/>
              </w:rPr>
              <w:t>人（其中：项目总监1人，专业监理工程师不少于1人，</w:t>
            </w:r>
            <w:r>
              <w:rPr>
                <w:rFonts w:hint="eastAsia" w:hAnsi="宋体" w:cs="宋体"/>
                <w:color w:val="auto"/>
                <w:highlight w:val="none"/>
                <w:lang w:val="en-US" w:eastAsia="zh-CN"/>
              </w:rPr>
              <w:t>安全监理工程师不少于1人，</w:t>
            </w:r>
            <w:r>
              <w:rPr>
                <w:rFonts w:hint="eastAsia" w:hAnsi="宋体" w:cs="宋体"/>
                <w:color w:val="auto"/>
                <w:highlight w:val="none"/>
                <w:lang w:eastAsia="zh-CN"/>
              </w:rPr>
              <w:t>监理员不少于</w:t>
            </w:r>
            <w:r>
              <w:rPr>
                <w:rFonts w:hint="eastAsia" w:hAnsi="宋体" w:cs="宋体"/>
                <w:color w:val="auto"/>
                <w:highlight w:val="none"/>
                <w:lang w:val="en-US" w:eastAsia="zh-CN"/>
              </w:rPr>
              <w:t>1</w:t>
            </w:r>
            <w:r>
              <w:rPr>
                <w:rFonts w:hint="eastAsia" w:hAnsi="宋体" w:cs="宋体"/>
                <w:color w:val="auto"/>
                <w:highlight w:val="none"/>
                <w:lang w:eastAsia="zh-CN"/>
              </w:rPr>
              <w:t>人）。（若证书不在有效期内的，应由企业法人注册地的颁证部门（建设行政主管部门或行业协会）出具的文件或证明，并能如实反映上述考核内容。其中总监应取得国家注册监理工程师注册执业证书，且证书上记载的工作单位为该投标单位，专业为房屋建筑工程；专业监理工程师应取得国家注册监理工程师注册执业证书或《监理工程师培训教育证书》</w:t>
            </w:r>
            <w:r>
              <w:rPr>
                <w:rFonts w:hint="eastAsia" w:ascii="宋体" w:hAnsi="宋体" w:eastAsia="宋体" w:cs="宋体"/>
                <w:color w:val="auto"/>
                <w:highlight w:val="none"/>
                <w:lang w:eastAsia="zh-CN"/>
              </w:rPr>
              <w:t>（提供原件或复印件加盖公章）</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val="en-US" w:eastAsia="zh-CN"/>
              </w:rPr>
            </w:pPr>
            <w:r>
              <w:rPr>
                <w:rFonts w:hint="eastAsia" w:hAnsi="宋体" w:eastAsia="宋体" w:cs="宋体"/>
                <w:color w:val="auto"/>
                <w:highlight w:val="none"/>
                <w:lang w:val="en-US" w:eastAsia="zh-CN"/>
              </w:rPr>
              <w:t>（4）</w:t>
            </w:r>
            <w:r>
              <w:rPr>
                <w:rFonts w:hint="eastAsia" w:ascii="宋体" w:hAnsi="宋体" w:eastAsia="宋体" w:cs="宋体"/>
                <w:color w:val="auto"/>
                <w:highlight w:val="none"/>
                <w:lang w:val="en-US" w:eastAsia="zh-CN"/>
              </w:rPr>
              <w:t>拟派本工程的项目总监承诺在本工程实施期间最多只能同时担任三个工程的项目总监</w:t>
            </w:r>
            <w:r>
              <w:rPr>
                <w:color w:val="auto"/>
                <w:spacing w:val="-3"/>
                <w:sz w:val="24"/>
                <w:highlight w:val="none"/>
              </w:rPr>
              <w:t>，除此外不再承担其它工程项目监理任务。</w:t>
            </w:r>
            <w:r>
              <w:rPr>
                <w:rFonts w:hint="eastAsia" w:ascii="宋体" w:hAnsi="宋体" w:eastAsia="宋体" w:cs="宋体"/>
                <w:color w:val="auto"/>
                <w:highlight w:val="none"/>
                <w:lang w:val="en-US" w:eastAsia="zh-CN"/>
              </w:rPr>
              <w:t>（提供承诺书原件加盖公章）</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（5）拟派本项目的项目总监、专业监理工程师、</w:t>
            </w:r>
            <w:r>
              <w:rPr>
                <w:rFonts w:hint="eastAsia" w:hAnsi="宋体" w:cs="宋体"/>
                <w:color w:val="auto"/>
                <w:highlight w:val="none"/>
                <w:lang w:val="en-US" w:eastAsia="zh-CN"/>
              </w:rPr>
              <w:t>安全监理工程师、</w:t>
            </w:r>
            <w:r>
              <w:rPr>
                <w:rFonts w:hint="eastAsia" w:hAnsi="宋体" w:cs="宋体"/>
                <w:color w:val="auto"/>
                <w:highlight w:val="none"/>
                <w:lang w:eastAsia="zh-CN"/>
              </w:rPr>
              <w:t>监理员</w:t>
            </w:r>
            <w:r>
              <w:rPr>
                <w:rFonts w:hint="eastAsia" w:ascii="宋体" w:hAnsi="宋体" w:eastAsia="宋体" w:cs="宋体"/>
                <w:color w:val="auto"/>
                <w:highlight w:val="none"/>
                <w:lang w:val="en-US" w:eastAsia="zh-CN"/>
              </w:rPr>
              <w:t>应提供2023年度</w:t>
            </w:r>
            <w:r>
              <w:rPr>
                <w:rFonts w:hint="eastAsia" w:hAnsi="宋体" w:cs="宋体"/>
                <w:color w:val="auto"/>
                <w:highlight w:val="none"/>
                <w:lang w:val="en-US" w:eastAsia="zh-CN"/>
              </w:rPr>
              <w:t>6月-8月</w:t>
            </w:r>
            <w:r>
              <w:rPr>
                <w:color w:val="auto"/>
                <w:spacing w:val="-8"/>
                <w:sz w:val="24"/>
              </w:rPr>
              <w:t>的社会劳动保障部门出具的社会保险缴费证明</w:t>
            </w:r>
            <w:r>
              <w:rPr>
                <w:color w:val="auto"/>
                <w:sz w:val="24"/>
              </w:rPr>
              <w:t>（需加盖人社部门公章</w:t>
            </w:r>
            <w:r>
              <w:rPr>
                <w:color w:val="auto"/>
                <w:spacing w:val="-96"/>
                <w:sz w:val="24"/>
              </w:rPr>
              <w:t>）</w:t>
            </w:r>
            <w:r>
              <w:rPr>
                <w:color w:val="auto"/>
                <w:spacing w:val="-1"/>
                <w:sz w:val="24"/>
              </w:rPr>
              <w:t>且社保证明材料所记载的单位必须是该投标单位</w:t>
            </w:r>
            <w:r>
              <w:rPr>
                <w:rFonts w:hint="eastAsia"/>
                <w:color w:val="auto"/>
                <w:spacing w:val="-1"/>
                <w:sz w:val="24"/>
                <w:lang w:eastAsia="zh-CN"/>
              </w:rPr>
              <w:t>。</w:t>
            </w:r>
            <w:r>
              <w:rPr>
                <w:rFonts w:hint="eastAsia" w:ascii="宋体" w:hAnsi="宋体" w:eastAsia="宋体" w:cs="宋体"/>
                <w:color w:val="auto"/>
                <w:highlight w:val="none"/>
                <w:lang w:val="en-US" w:eastAsia="zh-CN"/>
              </w:rPr>
              <w:t>（</w:t>
            </w:r>
            <w:r>
              <w:rPr>
                <w:rFonts w:hint="eastAsia" w:hAnsi="宋体" w:cs="宋体"/>
                <w:color w:val="auto"/>
                <w:highlight w:val="none"/>
                <w:lang w:val="en-US" w:eastAsia="zh-CN"/>
              </w:rPr>
              <w:t>如因社保系统升级关闭无法提供文件要求的相关人员社保证明材料的，申请人应提供文件要求缴纳社保的承诺书（加盖申请人单位公章、法人章），格式自拟。</w:t>
            </w:r>
            <w:r>
              <w:rPr>
                <w:rFonts w:hint="eastAsia" w:ascii="宋体" w:hAnsi="宋体" w:eastAsia="宋体" w:cs="宋体"/>
                <w:color w:val="auto"/>
                <w:highlight w:val="none"/>
                <w:lang w:val="en-US" w:eastAsia="zh-CN"/>
              </w:rPr>
              <w:t>）</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highlight w:val="none"/>
                <w:lang w:eastAsia="zh-CN"/>
              </w:rPr>
            </w:pPr>
            <w:r>
              <w:rPr>
                <w:rFonts w:hint="eastAsia" w:hAnsi="宋体" w:cs="宋体"/>
                <w:color w:val="auto"/>
                <w:highlight w:val="none"/>
                <w:lang w:val="en-US" w:eastAsia="zh-CN"/>
              </w:rPr>
              <w:t>5、</w:t>
            </w:r>
            <w:r>
              <w:rPr>
                <w:rFonts w:hint="eastAsia" w:ascii="宋体" w:hAnsi="宋体" w:eastAsia="宋体" w:cs="宋体"/>
                <w:color w:val="auto"/>
                <w:highlight w:val="none"/>
                <w:lang w:eastAsia="zh-CN"/>
              </w:rPr>
              <w:t>本项目不接受联合体。</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zh-CN"/>
              </w:rPr>
            </w:pPr>
            <w:r>
              <w:rPr>
                <w:rFonts w:hint="eastAsia" w:hAnsi="宋体" w:eastAsia="宋体" w:cs="宋体"/>
                <w:color w:val="auto"/>
                <w:highlight w:val="none"/>
                <w:lang w:eastAsia="zh-CN"/>
              </w:rPr>
              <w:t>本项目采用资格后审方式，</w:t>
            </w:r>
            <w:r>
              <w:rPr>
                <w:rFonts w:hint="eastAsia" w:ascii="宋体" w:hAnsi="宋体" w:eastAsia="宋体" w:cs="宋体"/>
                <w:color w:val="auto"/>
                <w:highlight w:val="none"/>
                <w:lang w:eastAsia="zh-CN"/>
              </w:rPr>
              <w:t>只有符合以上所有条件的供应商才有可能通过资格审查，供应商在制作</w:t>
            </w:r>
            <w:r>
              <w:rPr>
                <w:rFonts w:hint="eastAsia" w:hAnsi="宋体" w:eastAsia="宋体" w:cs="宋体"/>
                <w:color w:val="auto"/>
                <w:highlight w:val="none"/>
                <w:lang w:eastAsia="zh-CN"/>
              </w:rPr>
              <w:t>响应</w:t>
            </w:r>
            <w:r>
              <w:rPr>
                <w:rFonts w:hint="eastAsia" w:ascii="宋体" w:hAnsi="宋体" w:eastAsia="宋体" w:cs="宋体"/>
                <w:color w:val="auto"/>
                <w:highlight w:val="none"/>
                <w:lang w:eastAsia="zh-CN"/>
              </w:rPr>
              <w:t>文件时，应对照上述资格审查要求在响应文件中提供相应证明材料的复印件并加盖公章（</w:t>
            </w:r>
            <w:r>
              <w:rPr>
                <w:rFonts w:hint="eastAsia" w:hAnsi="宋体" w:eastAsia="宋体" w:cs="宋体"/>
                <w:color w:val="auto"/>
                <w:highlight w:val="none"/>
                <w:lang w:eastAsia="zh-CN"/>
              </w:rPr>
              <w:t>复印件</w:t>
            </w:r>
            <w:r>
              <w:rPr>
                <w:rFonts w:hint="eastAsia" w:ascii="宋体" w:hAnsi="宋体" w:eastAsia="宋体" w:cs="宋体"/>
                <w:color w:val="auto"/>
                <w:highlight w:val="none"/>
                <w:lang w:eastAsia="zh-CN"/>
              </w:rPr>
              <w:t>需清晰可见），否则评委和采购人将不予采信。</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0" w:hRule="atLeast"/>
        </w:trPr>
        <w:tc>
          <w:tcPr>
            <w:tcW w:w="796" w:type="dxa"/>
            <w:noWrap w:val="0"/>
            <w:vAlign w:val="center"/>
          </w:tcPr>
          <w:p>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340"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联合体磋商</w:t>
            </w:r>
          </w:p>
        </w:tc>
        <w:tc>
          <w:tcPr>
            <w:tcW w:w="6284"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bookmarkStart w:id="30" w:name="EB7a9fef4fbe6e4a909ea8647f67e2c4fd"/>
            <w:r>
              <w:rPr>
                <w:rFonts w:hint="eastAsia" w:ascii="宋体" w:hAnsi="宋体" w:eastAsia="宋体" w:cs="宋体"/>
                <w:color w:val="auto"/>
                <w:sz w:val="24"/>
                <w:szCs w:val="24"/>
                <w:highlight w:val="none"/>
              </w:rPr>
              <w:t>不接受</w:t>
            </w:r>
            <w:bookmarkEnd w:id="30"/>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trPr>
        <w:tc>
          <w:tcPr>
            <w:tcW w:w="796" w:type="dxa"/>
            <w:noWrap w:val="0"/>
            <w:vAlign w:val="center"/>
          </w:tcPr>
          <w:p>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340"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备选方案</w:t>
            </w:r>
          </w:p>
        </w:tc>
        <w:tc>
          <w:tcPr>
            <w:tcW w:w="6284"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bookmarkStart w:id="31" w:name="EB9543cf0331074ddaba5e9e3e2093282c"/>
            <w:r>
              <w:rPr>
                <w:rFonts w:hint="eastAsia" w:ascii="宋体" w:hAnsi="宋体" w:eastAsia="宋体" w:cs="宋体"/>
                <w:color w:val="auto"/>
                <w:sz w:val="24"/>
                <w:szCs w:val="24"/>
                <w:highlight w:val="none"/>
              </w:rPr>
              <w:t xml:space="preserve">不接受 </w:t>
            </w:r>
            <w:bookmarkEnd w:id="31"/>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trPr>
        <w:tc>
          <w:tcPr>
            <w:tcW w:w="796" w:type="dxa"/>
            <w:noWrap w:val="0"/>
            <w:vAlign w:val="center"/>
          </w:tcPr>
          <w:p>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8</w:t>
            </w:r>
          </w:p>
        </w:tc>
        <w:tc>
          <w:tcPr>
            <w:tcW w:w="1340"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信息公告媒体</w:t>
            </w:r>
          </w:p>
        </w:tc>
        <w:tc>
          <w:tcPr>
            <w:tcW w:w="6284"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枝江金润源集团公司官网（http://www.zjjryjt.cn/）或湖北姚家港绿色化工投资控股集团有限公司（http://www.hbghjt.cn/）</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trPr>
        <w:tc>
          <w:tcPr>
            <w:tcW w:w="796" w:type="dxa"/>
            <w:noWrap w:val="0"/>
            <w:vAlign w:val="center"/>
          </w:tcPr>
          <w:p>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9</w:t>
            </w:r>
          </w:p>
        </w:tc>
        <w:tc>
          <w:tcPr>
            <w:tcW w:w="1340"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提交响应文件截止时间</w:t>
            </w:r>
          </w:p>
        </w:tc>
        <w:tc>
          <w:tcPr>
            <w:tcW w:w="6284"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cs="宋体"/>
                <w:color w:val="auto"/>
                <w:highlight w:val="none"/>
                <w:lang w:val="en-US" w:eastAsia="zh-CN"/>
              </w:rPr>
              <w:t>2023年09月25日09时30分（北京</w:t>
            </w:r>
            <w:r>
              <w:rPr>
                <w:rFonts w:hint="eastAsia" w:ascii="宋体" w:hAnsi="宋体" w:eastAsia="宋体" w:cs="宋体"/>
                <w:color w:val="auto"/>
                <w:sz w:val="24"/>
                <w:szCs w:val="24"/>
                <w:highlight w:val="none"/>
              </w:rPr>
              <w:t>时间）</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80" w:hRule="atLeast"/>
        </w:trPr>
        <w:tc>
          <w:tcPr>
            <w:tcW w:w="796"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1340"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磋商时间、地点</w:t>
            </w:r>
          </w:p>
        </w:tc>
        <w:tc>
          <w:tcPr>
            <w:tcW w:w="6284"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磋商时间</w:t>
            </w:r>
            <w:r>
              <w:rPr>
                <w:rFonts w:hint="eastAsia" w:ascii="宋体" w:hAnsi="宋体" w:eastAsia="宋体" w:cs="宋体"/>
                <w:color w:val="auto"/>
                <w:kern w:val="0"/>
                <w:sz w:val="24"/>
                <w:szCs w:val="24"/>
                <w:highlight w:val="none"/>
                <w:lang w:bidi="ar"/>
              </w:rPr>
              <w:t>：</w:t>
            </w:r>
            <w:r>
              <w:rPr>
                <w:rFonts w:hint="eastAsia" w:ascii="宋体" w:hAnsi="宋体" w:cs="宋体"/>
                <w:color w:val="auto"/>
                <w:highlight w:val="none"/>
                <w:lang w:val="en-US" w:eastAsia="zh-CN"/>
              </w:rPr>
              <w:t>2023年09月25日09时30</w:t>
            </w:r>
            <w:r>
              <w:rPr>
                <w:rFonts w:hint="eastAsia" w:ascii="宋体" w:hAnsi="宋体" w:eastAsia="宋体" w:cs="宋体"/>
                <w:color w:val="auto"/>
                <w:highlight w:val="none"/>
                <w:lang w:eastAsia="zh-CN"/>
              </w:rPr>
              <w:t>分</w:t>
            </w:r>
          </w:p>
          <w:p>
            <w:pPr>
              <w:keepNext w:val="0"/>
              <w:keepLines w:val="0"/>
              <w:pageBreakBefore w:val="0"/>
              <w:widowControl/>
              <w:kinsoku/>
              <w:wordWrap/>
              <w:overflowPunct/>
              <w:topLinePunct w:val="0"/>
              <w:autoSpaceDE/>
              <w:autoSpaceDN/>
              <w:bidi w:val="0"/>
              <w:adjustRightInd/>
              <w:snapToGrid/>
              <w:spacing w:line="440" w:lineRule="exact"/>
              <w:jc w:val="left"/>
              <w:textAlignment w:val="auto"/>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磋商地点：</w:t>
            </w:r>
            <w:r>
              <w:rPr>
                <w:rFonts w:hint="eastAsia" w:ascii="宋体" w:hAnsi="宋体" w:cs="宋体"/>
                <w:color w:val="auto"/>
                <w:sz w:val="24"/>
                <w:szCs w:val="24"/>
                <w:highlight w:val="none"/>
                <w:lang w:eastAsia="zh-CN"/>
              </w:rPr>
              <w:t>湖北姚家港绿色化工投资控股集团有限公司</w:t>
            </w:r>
            <w:r>
              <w:rPr>
                <w:rFonts w:hint="eastAsia" w:ascii="宋体" w:hAnsi="宋体" w:eastAsia="宋体" w:cs="宋体"/>
                <w:color w:val="auto"/>
                <w:kern w:val="0"/>
                <w:sz w:val="24"/>
                <w:szCs w:val="24"/>
                <w:highlight w:val="none"/>
                <w:lang w:bidi="ar"/>
              </w:rPr>
              <w:t>（</w:t>
            </w:r>
            <w:r>
              <w:rPr>
                <w:rFonts w:hint="eastAsia" w:ascii="宋体" w:hAnsi="宋体" w:cs="宋体"/>
                <w:color w:val="auto"/>
                <w:kern w:val="0"/>
                <w:sz w:val="24"/>
                <w:szCs w:val="24"/>
                <w:highlight w:val="none"/>
                <w:lang w:eastAsia="zh-CN" w:bidi="ar"/>
              </w:rPr>
              <w:t>湖北省枝江市马家店街道迎宾大道118号</w:t>
            </w:r>
            <w:r>
              <w:rPr>
                <w:rFonts w:hint="eastAsia" w:ascii="宋体" w:hAnsi="宋体" w:eastAsia="宋体" w:cs="宋体"/>
                <w:color w:val="auto"/>
                <w:kern w:val="0"/>
                <w:sz w:val="24"/>
                <w:szCs w:val="24"/>
                <w:highlight w:val="none"/>
                <w:lang w:bidi="ar"/>
              </w:rPr>
              <w:t>）三楼开标室</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1" w:hRule="atLeast"/>
        </w:trPr>
        <w:tc>
          <w:tcPr>
            <w:tcW w:w="796"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p>
        </w:tc>
        <w:tc>
          <w:tcPr>
            <w:tcW w:w="1340"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磋商小组的组建及</w:t>
            </w:r>
            <w:r>
              <w:rPr>
                <w:rFonts w:hint="eastAsia" w:ascii="宋体" w:hAnsi="宋体" w:eastAsia="宋体" w:cs="宋体"/>
                <w:color w:val="auto"/>
                <w:sz w:val="24"/>
                <w:szCs w:val="24"/>
                <w:highlight w:val="none"/>
                <w:lang w:eastAsia="zh-CN"/>
              </w:rPr>
              <w:t>评审</w:t>
            </w:r>
            <w:r>
              <w:rPr>
                <w:rFonts w:hint="eastAsia" w:ascii="宋体" w:hAnsi="宋体" w:eastAsia="宋体" w:cs="宋体"/>
                <w:color w:val="auto"/>
                <w:sz w:val="24"/>
                <w:szCs w:val="24"/>
                <w:highlight w:val="none"/>
              </w:rPr>
              <w:t>专家的确定方式</w:t>
            </w:r>
          </w:p>
        </w:tc>
        <w:tc>
          <w:tcPr>
            <w:tcW w:w="6284"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采购单位依法组建磋商小组，共3人组成，其中采购人代表</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人和专家评委</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人。</w:t>
            </w:r>
          </w:p>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评审专家确定方式：计算机随机抽取语音通知方式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trPr>
        <w:tc>
          <w:tcPr>
            <w:tcW w:w="796"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p>
        </w:tc>
        <w:tc>
          <w:tcPr>
            <w:tcW w:w="1340"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磋商保证金</w:t>
            </w:r>
          </w:p>
        </w:tc>
        <w:tc>
          <w:tcPr>
            <w:tcW w:w="6284"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w:t>
            </w:r>
            <w:r>
              <w:rPr>
                <w:rFonts w:hint="eastAsia" w:ascii="宋体" w:hAnsi="宋体" w:eastAsia="宋体" w:cs="宋体"/>
                <w:color w:val="auto"/>
                <w:sz w:val="24"/>
                <w:szCs w:val="24"/>
                <w:highlight w:val="none"/>
                <w:lang w:eastAsia="zh-CN"/>
              </w:rPr>
              <w:t>不</w:t>
            </w:r>
            <w:r>
              <w:rPr>
                <w:rFonts w:hint="eastAsia" w:ascii="宋体" w:hAnsi="宋体" w:eastAsia="宋体" w:cs="宋体"/>
                <w:color w:val="auto"/>
                <w:sz w:val="24"/>
                <w:szCs w:val="24"/>
                <w:highlight w:val="none"/>
              </w:rPr>
              <w:t>设置</w:t>
            </w: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保证金。</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8" w:hRule="atLeast"/>
        </w:trPr>
        <w:tc>
          <w:tcPr>
            <w:tcW w:w="796"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p>
        </w:tc>
        <w:tc>
          <w:tcPr>
            <w:tcW w:w="1340"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磋商有效期</w:t>
            </w:r>
          </w:p>
        </w:tc>
        <w:tc>
          <w:tcPr>
            <w:tcW w:w="6284"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bookmarkStart w:id="32" w:name="EBaa593fe786b74611aad8f511e87d96c9"/>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0</w:t>
            </w:r>
            <w:bookmarkEnd w:id="32"/>
            <w:r>
              <w:rPr>
                <w:rFonts w:hint="eastAsia" w:ascii="宋体" w:hAnsi="宋体" w:eastAsia="宋体" w:cs="宋体"/>
                <w:color w:val="auto"/>
                <w:sz w:val="24"/>
                <w:szCs w:val="24"/>
                <w:highlight w:val="none"/>
              </w:rPr>
              <w:t>日（日历天）</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trPr>
        <w:tc>
          <w:tcPr>
            <w:tcW w:w="796"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4</w:t>
            </w:r>
          </w:p>
        </w:tc>
        <w:tc>
          <w:tcPr>
            <w:tcW w:w="1340"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响应文件份数</w:t>
            </w:r>
          </w:p>
        </w:tc>
        <w:tc>
          <w:tcPr>
            <w:tcW w:w="6284"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正本：壹份；</w:t>
            </w:r>
          </w:p>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副本：壹份；</w:t>
            </w:r>
            <w:bookmarkStart w:id="33" w:name="EB6683f8d037f14b10b4b3e285545528fc"/>
            <w:r>
              <w:rPr>
                <w:rFonts w:hint="eastAsia" w:ascii="宋体" w:hAnsi="宋体" w:eastAsia="宋体" w:cs="宋体"/>
                <w:color w:val="auto"/>
                <w:sz w:val="24"/>
                <w:szCs w:val="24"/>
                <w:highlight w:val="none"/>
              </w:rPr>
              <w:t xml:space="preserve"> </w:t>
            </w:r>
            <w:bookmarkEnd w:id="33"/>
          </w:p>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电子版U盘壹份。</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4" w:hRule="atLeast"/>
        </w:trPr>
        <w:tc>
          <w:tcPr>
            <w:tcW w:w="796" w:type="dxa"/>
            <w:noWrap w:val="0"/>
            <w:vAlign w:val="center"/>
          </w:tcPr>
          <w:p>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p>
        </w:tc>
        <w:tc>
          <w:tcPr>
            <w:tcW w:w="1340" w:type="dxa"/>
            <w:noWrap w:val="0"/>
            <w:vAlign w:val="center"/>
          </w:tcPr>
          <w:p>
            <w:pPr>
              <w:pStyle w:val="32"/>
              <w:keepNext w:val="0"/>
              <w:keepLines w:val="0"/>
              <w:pageBreakBefore w:val="0"/>
              <w:kinsoku/>
              <w:wordWrap/>
              <w:overflowPunct/>
              <w:topLinePunct w:val="0"/>
              <w:autoSpaceDE/>
              <w:autoSpaceDN/>
              <w:bidi w:val="0"/>
              <w:adjustRightInd/>
              <w:snapToGrid/>
              <w:spacing w:before="177" w:line="440" w:lineRule="exact"/>
              <w:ind w:left="107" w:leftChars="0"/>
              <w:textAlignment w:val="auto"/>
              <w:rPr>
                <w:rFonts w:hint="eastAsia" w:ascii="宋体" w:hAnsi="宋体" w:eastAsia="宋体" w:cs="宋体"/>
                <w:color w:val="auto"/>
                <w:kern w:val="2"/>
                <w:sz w:val="24"/>
                <w:szCs w:val="24"/>
                <w:highlight w:val="none"/>
                <w:lang w:bidi="ar-SA"/>
              </w:rPr>
            </w:pPr>
            <w:r>
              <w:rPr>
                <w:rFonts w:hint="eastAsia" w:ascii="宋体" w:hAnsi="宋体" w:eastAsia="宋体" w:cs="宋体"/>
                <w:color w:val="auto"/>
                <w:kern w:val="2"/>
                <w:sz w:val="24"/>
                <w:szCs w:val="24"/>
                <w:highlight w:val="none"/>
                <w:lang w:val="en-US" w:eastAsia="zh-CN" w:bidi="ar-SA"/>
              </w:rPr>
              <w:t>代理费、进场交易费</w:t>
            </w:r>
          </w:p>
        </w:tc>
        <w:tc>
          <w:tcPr>
            <w:tcW w:w="6284" w:type="dxa"/>
            <w:noWrap w:val="0"/>
            <w:vAlign w:val="center"/>
          </w:tcPr>
          <w:p>
            <w:pPr>
              <w:keepNext w:val="0"/>
              <w:keepLines w:val="0"/>
              <w:pageBreakBefore w:val="0"/>
              <w:numPr>
                <w:ilvl w:val="0"/>
                <w:numId w:val="1"/>
              </w:numPr>
              <w:kinsoku/>
              <w:wordWrap/>
              <w:overflowPunct/>
              <w:topLinePunct w:val="0"/>
              <w:autoSpaceDE/>
              <w:autoSpaceDN/>
              <w:bidi w:val="0"/>
              <w:adjustRightInd/>
              <w:snapToGrid/>
              <w:spacing w:line="44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供应商本次报价必须包含本项目的招标代理费</w:t>
            </w:r>
            <w:r>
              <w:rPr>
                <w:rFonts w:hint="eastAsia" w:ascii="宋体" w:hAnsi="宋体" w:cs="宋体"/>
                <w:color w:val="auto"/>
                <w:kern w:val="2"/>
                <w:sz w:val="24"/>
                <w:szCs w:val="24"/>
                <w:highlight w:val="none"/>
                <w:lang w:val="en-US" w:eastAsia="zh-CN" w:bidi="ar-SA"/>
              </w:rPr>
              <w:t>3</w:t>
            </w:r>
            <w:r>
              <w:rPr>
                <w:rFonts w:hint="eastAsia" w:ascii="宋体" w:hAnsi="宋体" w:eastAsia="宋体" w:cs="宋体"/>
                <w:color w:val="auto"/>
                <w:kern w:val="2"/>
                <w:sz w:val="24"/>
                <w:szCs w:val="24"/>
                <w:highlight w:val="none"/>
                <w:lang w:val="en-US" w:eastAsia="zh-CN" w:bidi="ar-SA"/>
              </w:rPr>
              <w:t>000.00元（不在报价中单列），费用由成交供应商在领取成交通知书时一次性支付给采购代理机构。</w:t>
            </w:r>
          </w:p>
          <w:p>
            <w:pPr>
              <w:pStyle w:val="11"/>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kern w:val="2"/>
                <w:sz w:val="24"/>
                <w:szCs w:val="24"/>
                <w:highlight w:val="none"/>
                <w:lang w:bidi="ar-SA"/>
              </w:rPr>
            </w:pPr>
            <w:r>
              <w:rPr>
                <w:rFonts w:hint="eastAsia" w:ascii="宋体" w:hAnsi="宋体" w:eastAsia="宋体" w:cs="宋体"/>
                <w:color w:val="auto"/>
                <w:kern w:val="2"/>
                <w:sz w:val="24"/>
                <w:szCs w:val="24"/>
                <w:highlight w:val="none"/>
                <w:lang w:val="en-US" w:eastAsia="zh-CN" w:bidi="ar-SA"/>
              </w:rPr>
              <w:t>（2）进场交易服务费：</w:t>
            </w:r>
            <w:r>
              <w:rPr>
                <w:rFonts w:hint="eastAsia" w:ascii="宋体" w:hAnsi="宋体" w:cs="宋体"/>
                <w:color w:val="auto"/>
                <w:kern w:val="2"/>
                <w:sz w:val="24"/>
                <w:szCs w:val="24"/>
                <w:highlight w:val="none"/>
                <w:lang w:val="en-US" w:eastAsia="zh-CN" w:bidi="ar-SA"/>
              </w:rPr>
              <w:t>1000</w:t>
            </w:r>
            <w:r>
              <w:rPr>
                <w:rFonts w:hint="eastAsia" w:ascii="宋体" w:hAnsi="宋体" w:eastAsia="宋体" w:cs="宋体"/>
                <w:color w:val="auto"/>
                <w:kern w:val="2"/>
                <w:sz w:val="24"/>
                <w:szCs w:val="24"/>
                <w:highlight w:val="none"/>
                <w:lang w:val="en-US" w:eastAsia="zh-CN" w:bidi="ar-SA"/>
              </w:rPr>
              <w:t>元，由成交供应商在领取成交通知书前向交易平台一次性支付本次进场交易服务费。</w:t>
            </w:r>
          </w:p>
        </w:tc>
      </w:tr>
    </w:tbl>
    <w:p>
      <w:pPr>
        <w:outlineLvl w:val="9"/>
        <w:rPr>
          <w:rFonts w:hint="eastAsia"/>
          <w:color w:val="auto"/>
          <w:highlight w:val="none"/>
        </w:rPr>
      </w:pPr>
      <w:bookmarkStart w:id="34" w:name="_Toc1405"/>
      <w:bookmarkStart w:id="35" w:name="_Toc21658"/>
      <w:bookmarkStart w:id="36" w:name="_Toc459297212"/>
      <w:bookmarkStart w:id="37" w:name="_Toc459227372"/>
      <w:bookmarkStart w:id="38" w:name="_Toc459227605"/>
      <w:bookmarkStart w:id="39" w:name="_Toc459226622"/>
      <w:bookmarkStart w:id="40" w:name="_Toc459223846"/>
    </w:p>
    <w:p>
      <w:pPr>
        <w:outlineLvl w:val="9"/>
        <w:rPr>
          <w:rFonts w:hint="eastAsia"/>
          <w:color w:val="auto"/>
          <w:highlight w:val="none"/>
        </w:rPr>
      </w:pPr>
    </w:p>
    <w:p>
      <w:pPr>
        <w:pStyle w:val="9"/>
        <w:kinsoku/>
        <w:wordWrap/>
        <w:overflowPunct/>
        <w:topLinePunct w:val="0"/>
        <w:bidi w:val="0"/>
        <w:spacing w:line="360" w:lineRule="auto"/>
        <w:jc w:val="center"/>
        <w:rPr>
          <w:rFonts w:hint="eastAsia" w:ascii="宋体" w:hAnsi="宋体" w:eastAsia="宋体" w:cs="宋体"/>
          <w:color w:val="auto"/>
          <w:highlight w:val="none"/>
        </w:rPr>
      </w:pPr>
      <w:bookmarkStart w:id="41" w:name="_Toc26296"/>
      <w:r>
        <w:rPr>
          <w:rFonts w:hint="eastAsia" w:ascii="宋体" w:hAnsi="宋体" w:eastAsia="宋体" w:cs="宋体"/>
          <w:color w:val="auto"/>
          <w:highlight w:val="none"/>
        </w:rPr>
        <w:t>一、说  明</w:t>
      </w:r>
      <w:bookmarkEnd w:id="34"/>
      <w:bookmarkEnd w:id="41"/>
    </w:p>
    <w:p>
      <w:pPr>
        <w:pStyle w:val="12"/>
        <w:kinsoku/>
        <w:wordWrap/>
        <w:overflowPunct/>
        <w:topLinePunct w:val="0"/>
        <w:bidi w:val="0"/>
        <w:spacing w:line="360" w:lineRule="auto"/>
        <w:ind w:firstLine="281" w:firstLineChars="100"/>
        <w:contextualSpacing/>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1</w:t>
      </w:r>
      <w:r>
        <w:rPr>
          <w:rFonts w:hint="eastAsia" w:hAnsi="宋体" w:cs="宋体"/>
          <w:b/>
          <w:color w:val="auto"/>
          <w:sz w:val="28"/>
          <w:szCs w:val="28"/>
          <w:highlight w:val="none"/>
          <w:lang w:eastAsia="zh-CN"/>
        </w:rPr>
        <w:t>、</w:t>
      </w:r>
      <w:r>
        <w:rPr>
          <w:rFonts w:hint="eastAsia" w:ascii="宋体" w:hAnsi="宋体" w:eastAsia="宋体" w:cs="宋体"/>
          <w:b/>
          <w:color w:val="auto"/>
          <w:sz w:val="28"/>
          <w:szCs w:val="28"/>
          <w:highlight w:val="none"/>
        </w:rPr>
        <w:t>适用范围</w:t>
      </w:r>
    </w:p>
    <w:p>
      <w:pPr>
        <w:pStyle w:val="10"/>
        <w:kinsoku/>
        <w:wordWrap/>
        <w:overflowPunct/>
        <w:topLinePunct w:val="0"/>
        <w:bidi w:val="0"/>
        <w:spacing w:line="360" w:lineRule="auto"/>
        <w:ind w:firstLine="484" w:firstLineChars="202"/>
        <w:rPr>
          <w:rFonts w:hint="eastAsia" w:ascii="宋体" w:hAnsi="宋体" w:eastAsia="宋体" w:cs="宋体"/>
          <w:color w:val="auto"/>
          <w:szCs w:val="24"/>
          <w:highlight w:val="none"/>
        </w:rPr>
      </w:pPr>
      <w:r>
        <w:rPr>
          <w:rFonts w:hint="eastAsia" w:ascii="宋体" w:hAnsi="宋体" w:eastAsia="宋体" w:cs="宋体"/>
          <w:color w:val="auto"/>
          <w:szCs w:val="24"/>
          <w:highlight w:val="none"/>
        </w:rPr>
        <w:t>1.1 本磋商文件仅适用于本磋商邀请书中所述项目的相关服务的采购。</w:t>
      </w:r>
    </w:p>
    <w:p>
      <w:pPr>
        <w:pStyle w:val="12"/>
        <w:kinsoku/>
        <w:wordWrap/>
        <w:overflowPunct/>
        <w:topLinePunct w:val="0"/>
        <w:bidi w:val="0"/>
        <w:spacing w:line="360" w:lineRule="auto"/>
        <w:ind w:firstLine="281" w:firstLineChars="100"/>
        <w:contextualSpacing/>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2</w:t>
      </w:r>
      <w:r>
        <w:rPr>
          <w:rFonts w:hint="eastAsia" w:hAnsi="宋体" w:cs="宋体"/>
          <w:b/>
          <w:color w:val="auto"/>
          <w:sz w:val="28"/>
          <w:szCs w:val="28"/>
          <w:highlight w:val="none"/>
          <w:lang w:eastAsia="zh-CN"/>
        </w:rPr>
        <w:t>、</w:t>
      </w:r>
      <w:r>
        <w:rPr>
          <w:rFonts w:hint="eastAsia" w:ascii="宋体" w:hAnsi="宋体" w:eastAsia="宋体" w:cs="宋体"/>
          <w:b/>
          <w:color w:val="auto"/>
          <w:sz w:val="28"/>
          <w:szCs w:val="28"/>
          <w:highlight w:val="none"/>
        </w:rPr>
        <w:t>定义</w:t>
      </w:r>
    </w:p>
    <w:p>
      <w:pPr>
        <w:pStyle w:val="10"/>
        <w:kinsoku/>
        <w:wordWrap/>
        <w:overflowPunct/>
        <w:topLinePunct w:val="0"/>
        <w:bidi w:val="0"/>
        <w:spacing w:line="360" w:lineRule="auto"/>
        <w:ind w:firstLine="484" w:firstLineChars="202"/>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rPr>
        <w:t>2.1“采购人”是指：详见供应商须知前附表</w:t>
      </w:r>
      <w:r>
        <w:rPr>
          <w:rFonts w:hint="eastAsia" w:ascii="宋体" w:hAnsi="宋体" w:cs="宋体"/>
          <w:color w:val="auto"/>
          <w:szCs w:val="24"/>
          <w:highlight w:val="none"/>
          <w:lang w:eastAsia="zh-CN"/>
        </w:rPr>
        <w:t>。</w:t>
      </w:r>
    </w:p>
    <w:p>
      <w:pPr>
        <w:pStyle w:val="10"/>
        <w:kinsoku/>
        <w:wordWrap/>
        <w:overflowPunct/>
        <w:topLinePunct w:val="0"/>
        <w:bidi w:val="0"/>
        <w:spacing w:line="360" w:lineRule="auto"/>
        <w:ind w:firstLine="484" w:firstLineChars="202"/>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rPr>
        <w:t>2.2“采购代理机构”是指：详见供应商须知前附表</w:t>
      </w:r>
      <w:r>
        <w:rPr>
          <w:rFonts w:hint="eastAsia" w:ascii="宋体" w:hAnsi="宋体" w:cs="宋体"/>
          <w:color w:val="auto"/>
          <w:szCs w:val="24"/>
          <w:highlight w:val="none"/>
          <w:lang w:eastAsia="zh-CN"/>
        </w:rPr>
        <w:t>。</w:t>
      </w:r>
    </w:p>
    <w:p>
      <w:pPr>
        <w:pStyle w:val="10"/>
        <w:kinsoku/>
        <w:wordWrap/>
        <w:overflowPunct/>
        <w:topLinePunct w:val="0"/>
        <w:bidi w:val="0"/>
        <w:spacing w:line="360" w:lineRule="auto"/>
        <w:ind w:firstLine="484" w:firstLineChars="202"/>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rPr>
        <w:t>2.3“监管部门”是指：详见供应商须知前附表</w:t>
      </w:r>
      <w:r>
        <w:rPr>
          <w:rFonts w:hint="eastAsia" w:ascii="宋体" w:hAnsi="宋体" w:cs="宋体"/>
          <w:color w:val="auto"/>
          <w:szCs w:val="24"/>
          <w:highlight w:val="none"/>
          <w:lang w:eastAsia="zh-CN"/>
        </w:rPr>
        <w:t>。</w:t>
      </w:r>
    </w:p>
    <w:p>
      <w:pPr>
        <w:pStyle w:val="10"/>
        <w:kinsoku/>
        <w:wordWrap/>
        <w:overflowPunct/>
        <w:topLinePunct w:val="0"/>
        <w:bidi w:val="0"/>
        <w:spacing w:line="360" w:lineRule="auto"/>
        <w:ind w:firstLine="484" w:firstLineChars="202"/>
        <w:rPr>
          <w:rFonts w:hint="eastAsia" w:ascii="宋体" w:hAnsi="宋体" w:eastAsia="宋体" w:cs="宋体"/>
          <w:color w:val="auto"/>
          <w:szCs w:val="24"/>
          <w:highlight w:val="none"/>
        </w:rPr>
      </w:pPr>
      <w:r>
        <w:rPr>
          <w:rFonts w:hint="eastAsia" w:ascii="宋体" w:hAnsi="宋体" w:eastAsia="宋体" w:cs="宋体"/>
          <w:color w:val="auto"/>
          <w:szCs w:val="24"/>
          <w:highlight w:val="none"/>
        </w:rPr>
        <w:t>2.4 “供应商”是指：响应磋商并且符合磋商文件规定资格条件和参加磋商的法人、其他组织或者自然人。</w:t>
      </w:r>
    </w:p>
    <w:p>
      <w:pPr>
        <w:pStyle w:val="10"/>
        <w:kinsoku/>
        <w:wordWrap/>
        <w:overflowPunct/>
        <w:topLinePunct w:val="0"/>
        <w:bidi w:val="0"/>
        <w:spacing w:line="360" w:lineRule="auto"/>
        <w:ind w:firstLine="484" w:firstLineChars="202"/>
        <w:rPr>
          <w:rFonts w:hint="eastAsia" w:ascii="宋体" w:hAnsi="宋体" w:eastAsia="宋体" w:cs="宋体"/>
          <w:color w:val="auto"/>
          <w:szCs w:val="24"/>
          <w:highlight w:val="none"/>
        </w:rPr>
      </w:pPr>
      <w:r>
        <w:rPr>
          <w:rFonts w:hint="eastAsia" w:ascii="宋体" w:hAnsi="宋体" w:eastAsia="宋体" w:cs="宋体"/>
          <w:color w:val="auto"/>
          <w:szCs w:val="24"/>
          <w:highlight w:val="none"/>
        </w:rPr>
        <w:t>2.5“成交供应商”是指:经磋商小组评审，授予合同的供应商。</w:t>
      </w:r>
    </w:p>
    <w:p>
      <w:pPr>
        <w:pStyle w:val="10"/>
        <w:kinsoku/>
        <w:wordWrap/>
        <w:overflowPunct/>
        <w:topLinePunct w:val="0"/>
        <w:bidi w:val="0"/>
        <w:spacing w:line="360" w:lineRule="auto"/>
        <w:ind w:firstLine="484" w:firstLineChars="202"/>
        <w:rPr>
          <w:rFonts w:hint="eastAsia" w:ascii="宋体" w:hAnsi="宋体" w:eastAsia="宋体" w:cs="宋体"/>
          <w:color w:val="auto"/>
          <w:sz w:val="28"/>
          <w:szCs w:val="28"/>
          <w:highlight w:val="none"/>
        </w:rPr>
      </w:pPr>
      <w:r>
        <w:rPr>
          <w:rFonts w:hint="eastAsia" w:ascii="宋体" w:hAnsi="宋体" w:eastAsia="宋体" w:cs="宋体"/>
          <w:color w:val="auto"/>
          <w:szCs w:val="24"/>
          <w:highlight w:val="none"/>
        </w:rPr>
        <w:t>2.6采购人和采购代理机构统称为采购单位。</w:t>
      </w:r>
    </w:p>
    <w:p>
      <w:pPr>
        <w:pStyle w:val="12"/>
        <w:kinsoku/>
        <w:wordWrap/>
        <w:overflowPunct/>
        <w:topLinePunct w:val="0"/>
        <w:bidi w:val="0"/>
        <w:spacing w:line="360" w:lineRule="auto"/>
        <w:ind w:firstLine="281" w:firstLineChars="100"/>
        <w:contextualSpacing/>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3、服务</w:t>
      </w:r>
    </w:p>
    <w:p>
      <w:pPr>
        <w:pStyle w:val="10"/>
        <w:kinsoku/>
        <w:wordWrap/>
        <w:overflowPunct/>
        <w:topLinePunct w:val="0"/>
        <w:bidi w:val="0"/>
        <w:spacing w:line="360" w:lineRule="auto"/>
        <w:ind w:firstLine="484" w:firstLineChars="202"/>
        <w:rPr>
          <w:rFonts w:hint="eastAsia" w:ascii="宋体" w:hAnsi="宋体" w:eastAsia="宋体" w:cs="宋体"/>
          <w:color w:val="auto"/>
          <w:sz w:val="28"/>
          <w:szCs w:val="28"/>
          <w:highlight w:val="none"/>
        </w:rPr>
      </w:pPr>
      <w:r>
        <w:rPr>
          <w:rFonts w:hint="eastAsia" w:ascii="宋体" w:hAnsi="宋体" w:eastAsia="宋体" w:cs="宋体"/>
          <w:color w:val="auto"/>
          <w:szCs w:val="24"/>
          <w:highlight w:val="none"/>
        </w:rPr>
        <w:t>3.</w:t>
      </w:r>
      <w:r>
        <w:rPr>
          <w:rFonts w:hint="eastAsia" w:ascii="宋体" w:hAnsi="宋体" w:eastAsia="宋体" w:cs="宋体"/>
          <w:color w:val="auto"/>
          <w:szCs w:val="24"/>
          <w:highlight w:val="none"/>
          <w:lang w:val="en-US" w:eastAsia="zh-CN"/>
        </w:rPr>
        <w:t>1</w:t>
      </w:r>
      <w:r>
        <w:rPr>
          <w:rFonts w:hint="eastAsia" w:ascii="宋体" w:hAnsi="宋体" w:eastAsia="宋体" w:cs="宋体"/>
          <w:color w:val="auto"/>
          <w:szCs w:val="24"/>
          <w:highlight w:val="none"/>
        </w:rPr>
        <w:t>“服务”是指：除货物和工程以外的其他对象。包括：政府自身需要的服务和政府向社会公众提供的公共服务。</w:t>
      </w:r>
    </w:p>
    <w:p>
      <w:pPr>
        <w:pStyle w:val="12"/>
        <w:kinsoku/>
        <w:wordWrap/>
        <w:overflowPunct/>
        <w:topLinePunct w:val="0"/>
        <w:bidi w:val="0"/>
        <w:spacing w:line="360" w:lineRule="auto"/>
        <w:ind w:firstLine="281" w:firstLineChars="100"/>
        <w:contextualSpacing/>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4、磋商费用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szCs w:val="24"/>
          <w:highlight w:val="none"/>
        </w:rPr>
        <w:t>4.1供应商应承担所有与准备和参加磋商有关的费用。不论磋商的结果如何，采购单位均无义务和责任承担这些费用。</w:t>
      </w:r>
    </w:p>
    <w:bookmarkEnd w:id="35"/>
    <w:bookmarkEnd w:id="36"/>
    <w:bookmarkEnd w:id="37"/>
    <w:bookmarkEnd w:id="38"/>
    <w:bookmarkEnd w:id="39"/>
    <w:bookmarkEnd w:id="40"/>
    <w:p>
      <w:pPr>
        <w:pStyle w:val="9"/>
        <w:kinsoku/>
        <w:wordWrap/>
        <w:overflowPunct/>
        <w:topLinePunct w:val="0"/>
        <w:bidi w:val="0"/>
        <w:spacing w:line="360" w:lineRule="auto"/>
        <w:jc w:val="center"/>
        <w:rPr>
          <w:rFonts w:hint="eastAsia" w:ascii="宋体" w:hAnsi="宋体" w:eastAsia="宋体" w:cs="宋体"/>
          <w:color w:val="auto"/>
          <w:highlight w:val="none"/>
        </w:rPr>
      </w:pPr>
      <w:bookmarkStart w:id="42" w:name="_Toc459297213"/>
      <w:bookmarkStart w:id="43" w:name="_Toc19797"/>
      <w:bookmarkStart w:id="44" w:name="_Toc26748"/>
      <w:bookmarkStart w:id="45" w:name="_Toc459226623"/>
      <w:bookmarkStart w:id="46" w:name="_Toc459227373"/>
      <w:bookmarkStart w:id="47" w:name="_Toc24952"/>
      <w:bookmarkStart w:id="48" w:name="_Toc459227606"/>
      <w:bookmarkStart w:id="49" w:name="_Toc459223847"/>
      <w:r>
        <w:rPr>
          <w:rFonts w:hint="eastAsia" w:ascii="宋体" w:hAnsi="宋体" w:eastAsia="宋体" w:cs="宋体"/>
          <w:color w:val="auto"/>
          <w:highlight w:val="none"/>
        </w:rPr>
        <w:t>二、磋商文件</w:t>
      </w:r>
      <w:bookmarkEnd w:id="42"/>
      <w:bookmarkEnd w:id="43"/>
      <w:bookmarkEnd w:id="44"/>
      <w:bookmarkEnd w:id="45"/>
      <w:bookmarkEnd w:id="46"/>
      <w:bookmarkEnd w:id="47"/>
      <w:bookmarkEnd w:id="48"/>
      <w:bookmarkEnd w:id="49"/>
    </w:p>
    <w:p>
      <w:pPr>
        <w:pStyle w:val="12"/>
        <w:kinsoku/>
        <w:wordWrap/>
        <w:overflowPunct/>
        <w:topLinePunct w:val="0"/>
        <w:bidi w:val="0"/>
        <w:spacing w:line="360" w:lineRule="auto"/>
        <w:ind w:firstLine="281" w:firstLineChars="100"/>
        <w:contextualSpacing/>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5</w:t>
      </w:r>
      <w:r>
        <w:rPr>
          <w:rFonts w:hint="eastAsia" w:hAnsi="宋体" w:cs="宋体"/>
          <w:b/>
          <w:color w:val="auto"/>
          <w:sz w:val="28"/>
          <w:szCs w:val="28"/>
          <w:highlight w:val="none"/>
          <w:lang w:eastAsia="zh-CN"/>
        </w:rPr>
        <w:t>、</w:t>
      </w:r>
      <w:r>
        <w:rPr>
          <w:rFonts w:hint="eastAsia" w:ascii="宋体" w:hAnsi="宋体" w:eastAsia="宋体" w:cs="宋体"/>
          <w:b/>
          <w:color w:val="auto"/>
          <w:sz w:val="28"/>
          <w:szCs w:val="28"/>
          <w:highlight w:val="none"/>
        </w:rPr>
        <w:t>磋商文件的构成</w:t>
      </w:r>
    </w:p>
    <w:p>
      <w:pPr>
        <w:pStyle w:val="10"/>
        <w:kinsoku/>
        <w:wordWrap/>
        <w:overflowPunct/>
        <w:topLinePunct w:val="0"/>
        <w:bidi w:val="0"/>
        <w:spacing w:line="360" w:lineRule="auto"/>
        <w:ind w:firstLine="484" w:firstLineChars="202"/>
        <w:rPr>
          <w:rFonts w:hint="eastAsia" w:ascii="宋体" w:hAnsi="宋体" w:eastAsia="宋体" w:cs="宋体"/>
          <w:color w:val="auto"/>
          <w:szCs w:val="24"/>
          <w:highlight w:val="none"/>
        </w:rPr>
      </w:pPr>
      <w:r>
        <w:rPr>
          <w:rFonts w:hint="eastAsia" w:ascii="宋体" w:hAnsi="宋体" w:eastAsia="宋体" w:cs="宋体"/>
          <w:color w:val="auto"/>
          <w:szCs w:val="24"/>
          <w:highlight w:val="none"/>
        </w:rPr>
        <w:t>5.1磋商文件由下列文件以及在磋商过程中发出的修正和补充文件组成：</w:t>
      </w:r>
    </w:p>
    <w:p>
      <w:pPr>
        <w:pStyle w:val="10"/>
        <w:kinsoku/>
        <w:wordWrap/>
        <w:overflowPunct/>
        <w:topLinePunct w:val="0"/>
        <w:bidi w:val="0"/>
        <w:spacing w:line="360" w:lineRule="auto"/>
        <w:ind w:firstLine="484" w:firstLineChars="202"/>
        <w:rPr>
          <w:rFonts w:hint="eastAsia" w:ascii="宋体" w:hAnsi="宋体" w:eastAsia="宋体" w:cs="宋体"/>
          <w:color w:val="auto"/>
          <w:szCs w:val="24"/>
          <w:highlight w:val="none"/>
        </w:rPr>
      </w:pPr>
      <w:r>
        <w:rPr>
          <w:rFonts w:hint="eastAsia" w:ascii="宋体" w:hAnsi="宋体" w:eastAsia="宋体" w:cs="宋体"/>
          <w:color w:val="auto"/>
          <w:szCs w:val="24"/>
          <w:highlight w:val="none"/>
        </w:rPr>
        <w:t>(1)磋商邀请</w:t>
      </w:r>
      <w:r>
        <w:rPr>
          <w:rFonts w:hint="eastAsia" w:ascii="宋体" w:hAnsi="宋体" w:eastAsia="宋体" w:cs="宋体"/>
          <w:color w:val="auto"/>
          <w:szCs w:val="24"/>
          <w:highlight w:val="none"/>
          <w:lang w:eastAsia="zh-CN"/>
        </w:rPr>
        <w:t>函</w:t>
      </w:r>
      <w:r>
        <w:rPr>
          <w:rFonts w:hint="eastAsia" w:ascii="宋体" w:hAnsi="宋体" w:eastAsia="宋体" w:cs="宋体"/>
          <w:color w:val="auto"/>
          <w:szCs w:val="24"/>
          <w:highlight w:val="none"/>
        </w:rPr>
        <w:t>；</w:t>
      </w:r>
    </w:p>
    <w:p>
      <w:pPr>
        <w:pStyle w:val="10"/>
        <w:kinsoku/>
        <w:wordWrap/>
        <w:overflowPunct/>
        <w:topLinePunct w:val="0"/>
        <w:bidi w:val="0"/>
        <w:spacing w:line="360" w:lineRule="auto"/>
        <w:ind w:firstLine="484" w:firstLineChars="202"/>
        <w:rPr>
          <w:rFonts w:hint="eastAsia" w:ascii="宋体" w:hAnsi="宋体" w:eastAsia="宋体" w:cs="宋体"/>
          <w:color w:val="auto"/>
          <w:szCs w:val="24"/>
          <w:highlight w:val="none"/>
        </w:rPr>
      </w:pPr>
      <w:r>
        <w:rPr>
          <w:rFonts w:hint="eastAsia" w:ascii="宋体" w:hAnsi="宋体" w:eastAsia="宋体" w:cs="宋体"/>
          <w:color w:val="auto"/>
          <w:szCs w:val="24"/>
          <w:highlight w:val="none"/>
        </w:rPr>
        <w:t>(2)供应商须知；</w:t>
      </w:r>
    </w:p>
    <w:p>
      <w:pPr>
        <w:pStyle w:val="10"/>
        <w:kinsoku/>
        <w:wordWrap/>
        <w:overflowPunct/>
        <w:topLinePunct w:val="0"/>
        <w:bidi w:val="0"/>
        <w:spacing w:line="360" w:lineRule="auto"/>
        <w:ind w:firstLine="484" w:firstLineChars="202"/>
        <w:rPr>
          <w:rFonts w:hint="eastAsia" w:ascii="宋体" w:hAnsi="宋体" w:eastAsia="宋体" w:cs="宋体"/>
          <w:color w:val="auto"/>
          <w:szCs w:val="24"/>
          <w:highlight w:val="none"/>
        </w:rPr>
      </w:pPr>
      <w:r>
        <w:rPr>
          <w:rFonts w:hint="eastAsia" w:ascii="宋体" w:hAnsi="宋体" w:eastAsia="宋体" w:cs="宋体"/>
          <w:color w:val="auto"/>
          <w:szCs w:val="24"/>
          <w:highlight w:val="none"/>
        </w:rPr>
        <w:t>(3)采购项目技术规格、参数及相关要求；</w:t>
      </w:r>
    </w:p>
    <w:p>
      <w:pPr>
        <w:pStyle w:val="10"/>
        <w:kinsoku/>
        <w:wordWrap/>
        <w:overflowPunct/>
        <w:topLinePunct w:val="0"/>
        <w:bidi w:val="0"/>
        <w:spacing w:line="360" w:lineRule="auto"/>
        <w:ind w:firstLine="484" w:firstLineChars="202"/>
        <w:rPr>
          <w:rFonts w:hint="eastAsia" w:ascii="宋体" w:hAnsi="宋体" w:eastAsia="宋体" w:cs="宋体"/>
          <w:color w:val="auto"/>
          <w:szCs w:val="24"/>
          <w:highlight w:val="none"/>
        </w:rPr>
      </w:pPr>
      <w:r>
        <w:rPr>
          <w:rFonts w:hint="eastAsia" w:ascii="宋体" w:hAnsi="宋体" w:eastAsia="宋体" w:cs="宋体"/>
          <w:color w:val="auto"/>
          <w:szCs w:val="24"/>
          <w:highlight w:val="none"/>
        </w:rPr>
        <w:t>(4)磋商方法、步骤、标准；</w:t>
      </w:r>
    </w:p>
    <w:p>
      <w:pPr>
        <w:pStyle w:val="10"/>
        <w:kinsoku/>
        <w:wordWrap/>
        <w:overflowPunct/>
        <w:topLinePunct w:val="0"/>
        <w:bidi w:val="0"/>
        <w:spacing w:line="360" w:lineRule="auto"/>
        <w:ind w:firstLine="484" w:firstLineChars="202"/>
        <w:rPr>
          <w:rFonts w:hint="eastAsia" w:ascii="宋体" w:hAnsi="宋体" w:eastAsia="宋体" w:cs="宋体"/>
          <w:color w:val="auto"/>
          <w:szCs w:val="24"/>
          <w:highlight w:val="none"/>
        </w:rPr>
      </w:pPr>
      <w:r>
        <w:rPr>
          <w:rFonts w:hint="eastAsia" w:ascii="宋体" w:hAnsi="宋体" w:eastAsia="宋体" w:cs="宋体"/>
          <w:color w:val="auto"/>
          <w:szCs w:val="24"/>
          <w:highlight w:val="none"/>
        </w:rPr>
        <w:t>(5)合同格式及合同条款；</w:t>
      </w:r>
    </w:p>
    <w:p>
      <w:pPr>
        <w:pStyle w:val="10"/>
        <w:kinsoku/>
        <w:wordWrap/>
        <w:overflowPunct/>
        <w:topLinePunct w:val="0"/>
        <w:bidi w:val="0"/>
        <w:spacing w:line="360" w:lineRule="auto"/>
        <w:ind w:firstLine="484" w:firstLineChars="202"/>
        <w:rPr>
          <w:rFonts w:hint="eastAsia" w:ascii="宋体" w:hAnsi="宋体" w:eastAsia="宋体" w:cs="宋体"/>
          <w:color w:val="auto"/>
          <w:szCs w:val="24"/>
          <w:highlight w:val="none"/>
        </w:rPr>
      </w:pPr>
      <w:r>
        <w:rPr>
          <w:rFonts w:hint="eastAsia" w:ascii="宋体" w:hAnsi="宋体" w:eastAsia="宋体" w:cs="宋体"/>
          <w:color w:val="auto"/>
          <w:szCs w:val="24"/>
          <w:highlight w:val="none"/>
        </w:rPr>
        <w:t>(6)响应文件格式；</w:t>
      </w:r>
    </w:p>
    <w:p>
      <w:pPr>
        <w:pStyle w:val="10"/>
        <w:kinsoku/>
        <w:wordWrap/>
        <w:overflowPunct/>
        <w:topLinePunct w:val="0"/>
        <w:bidi w:val="0"/>
        <w:spacing w:line="360" w:lineRule="auto"/>
        <w:ind w:firstLine="484" w:firstLineChars="202"/>
        <w:rPr>
          <w:rFonts w:hint="eastAsia" w:ascii="宋体" w:hAnsi="宋体" w:eastAsia="宋体" w:cs="宋体"/>
          <w:color w:val="auto"/>
          <w:sz w:val="28"/>
          <w:szCs w:val="28"/>
          <w:highlight w:val="none"/>
        </w:rPr>
      </w:pPr>
      <w:r>
        <w:rPr>
          <w:rFonts w:hint="eastAsia" w:ascii="宋体" w:hAnsi="宋体" w:eastAsia="宋体" w:cs="宋体"/>
          <w:color w:val="auto"/>
          <w:szCs w:val="24"/>
          <w:highlight w:val="none"/>
        </w:rPr>
        <w:t>(7)在磋商过程中由采购单位发出的澄清和补充文件等</w:t>
      </w:r>
      <w:r>
        <w:rPr>
          <w:rFonts w:hint="eastAsia" w:ascii="宋体" w:hAnsi="宋体" w:eastAsia="宋体" w:cs="宋体"/>
          <w:color w:val="auto"/>
          <w:sz w:val="28"/>
          <w:szCs w:val="28"/>
          <w:highlight w:val="none"/>
        </w:rPr>
        <w:t>。</w:t>
      </w:r>
    </w:p>
    <w:p>
      <w:pPr>
        <w:pStyle w:val="10"/>
        <w:kinsoku/>
        <w:wordWrap/>
        <w:overflowPunct/>
        <w:topLinePunct w:val="0"/>
        <w:bidi w:val="0"/>
        <w:spacing w:line="360" w:lineRule="auto"/>
        <w:ind w:firstLine="484" w:firstLineChars="202"/>
        <w:rPr>
          <w:rFonts w:hint="eastAsia" w:ascii="宋体" w:hAnsi="宋体" w:eastAsia="宋体" w:cs="宋体"/>
          <w:color w:val="auto"/>
          <w:szCs w:val="24"/>
          <w:highlight w:val="none"/>
        </w:rPr>
      </w:pPr>
      <w:r>
        <w:rPr>
          <w:rFonts w:hint="eastAsia" w:ascii="宋体" w:hAnsi="宋体" w:eastAsia="宋体" w:cs="宋体"/>
          <w:color w:val="auto"/>
          <w:szCs w:val="24"/>
          <w:highlight w:val="none"/>
        </w:rPr>
        <w:t>5.2供应商应认真阅读磋商文件中所有的事项、格式、条款和技术规范、参数及相关要求等。供应商没有按照磋商文件要求提交全部资料，或者响应文件没有对磋商文件在各方面都做出实质性响应是供应商的风险，</w:t>
      </w:r>
      <w:r>
        <w:rPr>
          <w:rFonts w:hint="eastAsia" w:ascii="宋体" w:hAnsi="宋体" w:eastAsia="宋体" w:cs="宋体"/>
          <w:color w:val="auto"/>
          <w:sz w:val="22"/>
          <w:highlight w:val="none"/>
        </w:rPr>
        <w:t>有</w:t>
      </w:r>
      <w:r>
        <w:rPr>
          <w:rFonts w:hint="eastAsia" w:ascii="宋体" w:hAnsi="宋体" w:eastAsia="宋体" w:cs="宋体"/>
          <w:color w:val="auto"/>
          <w:szCs w:val="24"/>
          <w:highlight w:val="none"/>
        </w:rPr>
        <w:t>可能导致其响应文件被拒绝接收，或被按照无效磋商文件处理。</w:t>
      </w:r>
    </w:p>
    <w:p>
      <w:pPr>
        <w:pStyle w:val="12"/>
        <w:kinsoku/>
        <w:wordWrap/>
        <w:overflowPunct/>
        <w:topLinePunct w:val="0"/>
        <w:bidi w:val="0"/>
        <w:spacing w:line="360" w:lineRule="auto"/>
        <w:ind w:firstLine="281" w:firstLineChars="100"/>
        <w:contextualSpacing/>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6</w:t>
      </w:r>
      <w:r>
        <w:rPr>
          <w:rFonts w:hint="eastAsia" w:hAnsi="宋体" w:cs="宋体"/>
          <w:b/>
          <w:color w:val="auto"/>
          <w:sz w:val="28"/>
          <w:szCs w:val="28"/>
          <w:highlight w:val="none"/>
          <w:lang w:eastAsia="zh-CN"/>
        </w:rPr>
        <w:t>、</w:t>
      </w:r>
      <w:r>
        <w:rPr>
          <w:rFonts w:hint="eastAsia" w:ascii="宋体" w:hAnsi="宋体" w:eastAsia="宋体" w:cs="宋体"/>
          <w:b/>
          <w:color w:val="auto"/>
          <w:sz w:val="28"/>
          <w:szCs w:val="28"/>
          <w:highlight w:val="none"/>
        </w:rPr>
        <w:t>磋商文件的澄清</w:t>
      </w:r>
    </w:p>
    <w:p>
      <w:pPr>
        <w:pStyle w:val="12"/>
        <w:kinsoku/>
        <w:wordWrap/>
        <w:overflowPunct/>
        <w:topLinePunct w:val="0"/>
        <w:bidi w:val="0"/>
        <w:spacing w:line="360" w:lineRule="auto"/>
        <w:ind w:firstLine="240" w:firstLineChars="100"/>
        <w:contextualSpacing/>
        <w:rPr>
          <w:rFonts w:hint="eastAsia" w:ascii="宋体" w:hAnsi="宋体" w:eastAsia="宋体" w:cs="宋体"/>
          <w:color w:val="auto"/>
          <w:szCs w:val="24"/>
          <w:highlight w:val="none"/>
        </w:rPr>
      </w:pPr>
      <w:r>
        <w:rPr>
          <w:rFonts w:hint="eastAsia" w:hAnsi="宋体" w:eastAsia="宋体" w:cs="宋体"/>
          <w:color w:val="auto"/>
          <w:szCs w:val="24"/>
          <w:highlight w:val="none"/>
          <w:lang w:val="en-US" w:eastAsia="zh-CN"/>
        </w:rPr>
        <w:t>6.</w:t>
      </w:r>
      <w:r>
        <w:rPr>
          <w:rFonts w:hint="eastAsia" w:ascii="宋体" w:hAnsi="宋体" w:eastAsia="宋体" w:cs="宋体"/>
          <w:color w:val="auto"/>
          <w:szCs w:val="24"/>
          <w:highlight w:val="none"/>
        </w:rPr>
        <w:t>1采购人不集中组织答疑会，供应商如有疑问，需在</w:t>
      </w:r>
      <w:r>
        <w:rPr>
          <w:rFonts w:hint="eastAsia" w:hAnsi="宋体" w:cs="宋体"/>
          <w:color w:val="auto"/>
          <w:szCs w:val="24"/>
          <w:highlight w:val="none"/>
          <w:lang w:eastAsia="zh-CN"/>
        </w:rPr>
        <w:t>2023年</w:t>
      </w:r>
      <w:r>
        <w:rPr>
          <w:rFonts w:hint="eastAsia" w:hAnsi="宋体" w:cs="宋体"/>
          <w:color w:val="auto"/>
          <w:szCs w:val="24"/>
          <w:highlight w:val="none"/>
          <w:lang w:val="en-US" w:eastAsia="zh-CN"/>
        </w:rPr>
        <w:t>09</w:t>
      </w:r>
      <w:r>
        <w:rPr>
          <w:rFonts w:hint="eastAsia" w:hAnsi="宋体" w:cs="宋体"/>
          <w:color w:val="auto"/>
          <w:szCs w:val="24"/>
          <w:highlight w:val="none"/>
          <w:lang w:eastAsia="zh-CN"/>
        </w:rPr>
        <w:t>月</w:t>
      </w:r>
      <w:r>
        <w:rPr>
          <w:rFonts w:hint="eastAsia" w:hAnsi="宋体" w:cs="宋体"/>
          <w:color w:val="auto"/>
          <w:szCs w:val="24"/>
          <w:highlight w:val="none"/>
          <w:lang w:val="en-US" w:eastAsia="zh-CN"/>
        </w:rPr>
        <w:t>20</w:t>
      </w:r>
      <w:r>
        <w:rPr>
          <w:rFonts w:hint="eastAsia" w:ascii="宋体" w:hAnsi="宋体" w:eastAsia="宋体" w:cs="宋体"/>
          <w:color w:val="auto"/>
          <w:szCs w:val="24"/>
          <w:highlight w:val="none"/>
        </w:rPr>
        <w:t>日</w:t>
      </w:r>
      <w:r>
        <w:rPr>
          <w:rFonts w:hint="eastAsia" w:hAnsi="宋体" w:cs="宋体"/>
          <w:color w:val="auto"/>
          <w:szCs w:val="24"/>
          <w:highlight w:val="none"/>
          <w:lang w:val="en-US" w:eastAsia="zh-CN"/>
        </w:rPr>
        <w:t>17</w:t>
      </w:r>
      <w:r>
        <w:rPr>
          <w:rFonts w:hint="eastAsia" w:ascii="宋体" w:hAnsi="宋体" w:eastAsia="宋体" w:cs="宋体"/>
          <w:color w:val="auto"/>
          <w:szCs w:val="24"/>
          <w:highlight w:val="none"/>
        </w:rPr>
        <w:t>时</w:t>
      </w:r>
      <w:r>
        <w:rPr>
          <w:rFonts w:hint="eastAsia" w:hAnsi="宋体" w:cs="宋体"/>
          <w:color w:val="auto"/>
          <w:szCs w:val="24"/>
          <w:highlight w:val="none"/>
          <w:lang w:val="en-US" w:eastAsia="zh-CN"/>
        </w:rPr>
        <w:t>0</w:t>
      </w:r>
      <w:r>
        <w:rPr>
          <w:rFonts w:hint="eastAsia" w:ascii="宋体" w:hAnsi="宋体" w:eastAsia="宋体" w:cs="宋体"/>
          <w:color w:val="auto"/>
          <w:szCs w:val="24"/>
          <w:highlight w:val="none"/>
        </w:rPr>
        <w:t>0分前通过</w:t>
      </w:r>
      <w:r>
        <w:rPr>
          <w:rFonts w:hint="eastAsia" w:hAnsi="宋体" w:cs="宋体"/>
          <w:color w:val="auto"/>
          <w:szCs w:val="24"/>
          <w:highlight w:val="none"/>
          <w:lang w:val="en-US" w:eastAsia="zh-CN"/>
        </w:rPr>
        <w:t>515507280</w:t>
      </w:r>
      <w:r>
        <w:rPr>
          <w:rFonts w:hint="eastAsia" w:ascii="宋体" w:hAnsi="宋体" w:eastAsia="宋体" w:cs="宋体"/>
          <w:color w:val="auto"/>
          <w:szCs w:val="24"/>
          <w:highlight w:val="none"/>
        </w:rPr>
        <w:t>@qq.com匿名提交对磋商事宜的质疑，采购人在规定时间内对问题作出整理后，将在</w:t>
      </w:r>
      <w:r>
        <w:rPr>
          <w:rFonts w:hint="eastAsia" w:hAnsi="宋体" w:cs="宋体"/>
          <w:color w:val="auto"/>
          <w:sz w:val="24"/>
          <w:szCs w:val="24"/>
          <w:highlight w:val="none"/>
          <w:lang w:eastAsia="zh-CN"/>
        </w:rPr>
        <w:t>枝江金润源集团公司官网（http://www.zjjryjt.cn/）或湖北姚家港绿色化工投资控股集团有限公司（http://www.hbghjt.cn/）</w:t>
      </w:r>
      <w:r>
        <w:rPr>
          <w:rFonts w:hint="eastAsia" w:ascii="宋体" w:hAnsi="宋体" w:eastAsia="宋体" w:cs="宋体"/>
          <w:color w:val="auto"/>
          <w:szCs w:val="24"/>
          <w:highlight w:val="none"/>
        </w:rPr>
        <w:t>上公布答疑回复。</w:t>
      </w:r>
    </w:p>
    <w:p>
      <w:pPr>
        <w:pStyle w:val="12"/>
        <w:kinsoku/>
        <w:wordWrap/>
        <w:overflowPunct/>
        <w:topLinePunct w:val="0"/>
        <w:bidi w:val="0"/>
        <w:spacing w:line="360" w:lineRule="auto"/>
        <w:ind w:firstLine="240" w:firstLineChars="100"/>
        <w:contextualSpacing/>
        <w:rPr>
          <w:rFonts w:hint="eastAsia" w:ascii="宋体" w:hAnsi="宋体" w:eastAsia="宋体" w:cs="宋体"/>
          <w:color w:val="auto"/>
          <w:szCs w:val="24"/>
          <w:highlight w:val="none"/>
        </w:rPr>
      </w:pPr>
      <w:r>
        <w:rPr>
          <w:rFonts w:hint="eastAsia" w:ascii="宋体" w:hAnsi="宋体" w:eastAsia="宋体" w:cs="宋体"/>
          <w:color w:val="auto"/>
          <w:szCs w:val="24"/>
          <w:highlight w:val="none"/>
        </w:rPr>
        <w:t>网上提问开始时间：</w:t>
      </w:r>
      <w:r>
        <w:rPr>
          <w:rFonts w:hint="eastAsia" w:hAnsi="宋体" w:cs="宋体"/>
          <w:color w:val="auto"/>
          <w:szCs w:val="24"/>
          <w:highlight w:val="none"/>
          <w:lang w:eastAsia="zh-CN"/>
        </w:rPr>
        <w:t>2023年</w:t>
      </w:r>
      <w:r>
        <w:rPr>
          <w:rFonts w:hint="eastAsia" w:hAnsi="宋体" w:cs="宋体"/>
          <w:color w:val="auto"/>
          <w:szCs w:val="24"/>
          <w:highlight w:val="none"/>
          <w:lang w:val="en-US" w:eastAsia="zh-CN"/>
        </w:rPr>
        <w:t>09</w:t>
      </w:r>
      <w:r>
        <w:rPr>
          <w:rFonts w:hint="eastAsia" w:hAnsi="宋体" w:cs="宋体"/>
          <w:color w:val="auto"/>
          <w:szCs w:val="24"/>
          <w:highlight w:val="none"/>
          <w:lang w:eastAsia="zh-CN"/>
        </w:rPr>
        <w:t>月</w:t>
      </w:r>
      <w:r>
        <w:rPr>
          <w:rFonts w:hint="eastAsia" w:hAnsi="宋体" w:cs="宋体"/>
          <w:color w:val="auto"/>
          <w:szCs w:val="24"/>
          <w:highlight w:val="none"/>
          <w:lang w:val="en-US" w:eastAsia="zh-CN"/>
        </w:rPr>
        <w:t>14</w:t>
      </w:r>
      <w:r>
        <w:rPr>
          <w:rFonts w:hint="eastAsia" w:ascii="宋体" w:hAnsi="宋体" w:eastAsia="宋体" w:cs="宋体"/>
          <w:color w:val="auto"/>
          <w:szCs w:val="24"/>
          <w:highlight w:val="none"/>
        </w:rPr>
        <w:t>日</w:t>
      </w:r>
      <w:r>
        <w:rPr>
          <w:rFonts w:hint="eastAsia" w:hAnsi="宋体" w:cs="宋体"/>
          <w:color w:val="auto"/>
          <w:szCs w:val="24"/>
          <w:highlight w:val="none"/>
          <w:lang w:val="en-US" w:eastAsia="zh-CN"/>
        </w:rPr>
        <w:t>08</w:t>
      </w:r>
      <w:r>
        <w:rPr>
          <w:rFonts w:hint="eastAsia" w:ascii="宋体" w:hAnsi="宋体" w:eastAsia="宋体" w:cs="宋体"/>
          <w:color w:val="auto"/>
          <w:szCs w:val="24"/>
          <w:highlight w:val="none"/>
        </w:rPr>
        <w:t>时</w:t>
      </w:r>
      <w:r>
        <w:rPr>
          <w:rFonts w:hint="eastAsia" w:hAnsi="宋体" w:cs="宋体"/>
          <w:color w:val="auto"/>
          <w:szCs w:val="24"/>
          <w:highlight w:val="none"/>
          <w:lang w:val="en-US" w:eastAsia="zh-CN"/>
        </w:rPr>
        <w:t>0</w:t>
      </w:r>
      <w:r>
        <w:rPr>
          <w:rFonts w:hint="eastAsia" w:ascii="宋体" w:hAnsi="宋体" w:eastAsia="宋体" w:cs="宋体"/>
          <w:color w:val="auto"/>
          <w:szCs w:val="24"/>
          <w:highlight w:val="none"/>
        </w:rPr>
        <w:t>0分；</w:t>
      </w:r>
    </w:p>
    <w:p>
      <w:pPr>
        <w:pStyle w:val="12"/>
        <w:kinsoku/>
        <w:wordWrap/>
        <w:overflowPunct/>
        <w:topLinePunct w:val="0"/>
        <w:bidi w:val="0"/>
        <w:spacing w:line="360" w:lineRule="auto"/>
        <w:ind w:firstLine="240" w:firstLineChars="100"/>
        <w:contextualSpacing/>
        <w:rPr>
          <w:rFonts w:hint="eastAsia" w:ascii="宋体" w:hAnsi="宋体" w:eastAsia="宋体" w:cs="宋体"/>
          <w:color w:val="auto"/>
          <w:szCs w:val="24"/>
          <w:highlight w:val="none"/>
        </w:rPr>
      </w:pPr>
      <w:r>
        <w:rPr>
          <w:rFonts w:hint="eastAsia" w:ascii="宋体" w:hAnsi="宋体" w:eastAsia="宋体" w:cs="宋体"/>
          <w:color w:val="auto"/>
          <w:szCs w:val="24"/>
          <w:highlight w:val="none"/>
        </w:rPr>
        <w:t>网上提问结束时间：</w:t>
      </w:r>
      <w:r>
        <w:rPr>
          <w:rFonts w:hint="eastAsia" w:hAnsi="宋体" w:cs="宋体"/>
          <w:color w:val="auto"/>
          <w:szCs w:val="24"/>
          <w:highlight w:val="none"/>
          <w:lang w:eastAsia="zh-CN"/>
        </w:rPr>
        <w:t>2023年</w:t>
      </w:r>
      <w:r>
        <w:rPr>
          <w:rFonts w:hint="eastAsia" w:hAnsi="宋体" w:cs="宋体"/>
          <w:color w:val="auto"/>
          <w:szCs w:val="24"/>
          <w:highlight w:val="none"/>
          <w:lang w:val="en-US" w:eastAsia="zh-CN"/>
        </w:rPr>
        <w:t>09</w:t>
      </w:r>
      <w:r>
        <w:rPr>
          <w:rFonts w:hint="eastAsia" w:hAnsi="宋体" w:cs="宋体"/>
          <w:color w:val="auto"/>
          <w:szCs w:val="24"/>
          <w:highlight w:val="none"/>
          <w:lang w:eastAsia="zh-CN"/>
        </w:rPr>
        <w:t>月</w:t>
      </w:r>
      <w:r>
        <w:rPr>
          <w:rFonts w:hint="eastAsia" w:hAnsi="宋体" w:cs="宋体"/>
          <w:color w:val="auto"/>
          <w:szCs w:val="24"/>
          <w:highlight w:val="none"/>
          <w:lang w:val="en-US" w:eastAsia="zh-CN"/>
        </w:rPr>
        <w:t>20</w:t>
      </w:r>
      <w:r>
        <w:rPr>
          <w:rFonts w:hint="eastAsia" w:ascii="宋体" w:hAnsi="宋体" w:eastAsia="宋体" w:cs="宋体"/>
          <w:color w:val="auto"/>
          <w:szCs w:val="24"/>
          <w:highlight w:val="none"/>
        </w:rPr>
        <w:t>日</w:t>
      </w:r>
      <w:r>
        <w:rPr>
          <w:rFonts w:hint="eastAsia" w:hAnsi="宋体" w:cs="宋体"/>
          <w:color w:val="auto"/>
          <w:szCs w:val="24"/>
          <w:highlight w:val="none"/>
          <w:lang w:val="en-US" w:eastAsia="zh-CN"/>
        </w:rPr>
        <w:t>17</w:t>
      </w:r>
      <w:r>
        <w:rPr>
          <w:rFonts w:hint="eastAsia" w:ascii="宋体" w:hAnsi="宋体" w:eastAsia="宋体" w:cs="宋体"/>
          <w:color w:val="auto"/>
          <w:szCs w:val="24"/>
          <w:highlight w:val="none"/>
        </w:rPr>
        <w:t>时</w:t>
      </w:r>
      <w:r>
        <w:rPr>
          <w:rFonts w:hint="eastAsia" w:hAnsi="宋体" w:cs="宋体"/>
          <w:color w:val="auto"/>
          <w:szCs w:val="24"/>
          <w:highlight w:val="none"/>
          <w:lang w:val="en-US" w:eastAsia="zh-CN"/>
        </w:rPr>
        <w:t>0</w:t>
      </w:r>
      <w:r>
        <w:rPr>
          <w:rFonts w:hint="eastAsia" w:ascii="宋体" w:hAnsi="宋体" w:eastAsia="宋体" w:cs="宋体"/>
          <w:color w:val="auto"/>
          <w:szCs w:val="24"/>
          <w:highlight w:val="none"/>
        </w:rPr>
        <w:t>0分；</w:t>
      </w:r>
    </w:p>
    <w:p>
      <w:pPr>
        <w:pStyle w:val="12"/>
        <w:kinsoku/>
        <w:wordWrap/>
        <w:overflowPunct/>
        <w:topLinePunct w:val="0"/>
        <w:bidi w:val="0"/>
        <w:spacing w:line="360" w:lineRule="auto"/>
        <w:ind w:firstLine="240" w:firstLineChars="100"/>
        <w:contextualSpacing/>
        <w:rPr>
          <w:rFonts w:hint="eastAsia" w:ascii="宋体" w:hAnsi="宋体" w:eastAsia="宋体" w:cs="宋体"/>
          <w:color w:val="auto"/>
          <w:szCs w:val="24"/>
          <w:highlight w:val="none"/>
        </w:rPr>
      </w:pPr>
      <w:r>
        <w:rPr>
          <w:rFonts w:hint="eastAsia" w:ascii="宋体" w:hAnsi="宋体" w:eastAsia="宋体" w:cs="宋体"/>
          <w:color w:val="auto"/>
          <w:szCs w:val="24"/>
          <w:highlight w:val="none"/>
        </w:rPr>
        <w:t>网上回复时间：</w:t>
      </w:r>
      <w:r>
        <w:rPr>
          <w:rFonts w:hint="eastAsia" w:hAnsi="宋体" w:cs="宋体"/>
          <w:color w:val="auto"/>
          <w:szCs w:val="24"/>
          <w:highlight w:val="none"/>
          <w:lang w:eastAsia="zh-CN"/>
        </w:rPr>
        <w:t>2023</w:t>
      </w:r>
      <w:r>
        <w:rPr>
          <w:rFonts w:hint="eastAsia" w:ascii="宋体" w:hAnsi="宋体" w:eastAsia="宋体" w:cs="宋体"/>
          <w:color w:val="auto"/>
          <w:szCs w:val="24"/>
          <w:highlight w:val="none"/>
        </w:rPr>
        <w:t>年</w:t>
      </w:r>
      <w:r>
        <w:rPr>
          <w:rFonts w:hint="eastAsia" w:hAnsi="宋体" w:cs="宋体"/>
          <w:color w:val="auto"/>
          <w:szCs w:val="24"/>
          <w:highlight w:val="none"/>
          <w:lang w:val="en-US" w:eastAsia="zh-CN"/>
        </w:rPr>
        <w:t>09</w:t>
      </w:r>
      <w:r>
        <w:rPr>
          <w:rFonts w:hint="eastAsia" w:ascii="宋体" w:hAnsi="宋体" w:eastAsia="宋体" w:cs="宋体"/>
          <w:color w:val="auto"/>
          <w:szCs w:val="24"/>
          <w:highlight w:val="none"/>
        </w:rPr>
        <w:t>月</w:t>
      </w:r>
      <w:r>
        <w:rPr>
          <w:rFonts w:hint="eastAsia" w:hAnsi="宋体" w:cs="宋体"/>
          <w:color w:val="auto"/>
          <w:szCs w:val="24"/>
          <w:highlight w:val="none"/>
          <w:lang w:val="en-US" w:eastAsia="zh-CN"/>
        </w:rPr>
        <w:t>20</w:t>
      </w:r>
      <w:r>
        <w:rPr>
          <w:rFonts w:hint="eastAsia" w:ascii="宋体" w:hAnsi="宋体" w:eastAsia="宋体" w:cs="宋体"/>
          <w:color w:val="auto"/>
          <w:szCs w:val="24"/>
          <w:highlight w:val="none"/>
        </w:rPr>
        <w:t>日</w:t>
      </w:r>
      <w:r>
        <w:rPr>
          <w:rFonts w:hint="eastAsia" w:hAnsi="宋体" w:cs="宋体"/>
          <w:color w:val="auto"/>
          <w:szCs w:val="24"/>
          <w:highlight w:val="none"/>
          <w:lang w:val="en-US" w:eastAsia="zh-CN"/>
        </w:rPr>
        <w:t xml:space="preserve"> 17</w:t>
      </w:r>
      <w:r>
        <w:rPr>
          <w:rFonts w:hint="eastAsia" w:ascii="宋体" w:hAnsi="宋体" w:eastAsia="宋体" w:cs="宋体"/>
          <w:color w:val="auto"/>
          <w:szCs w:val="24"/>
          <w:highlight w:val="none"/>
        </w:rPr>
        <w:t>时</w:t>
      </w:r>
      <w:r>
        <w:rPr>
          <w:rFonts w:hint="eastAsia" w:hAnsi="宋体" w:cs="宋体"/>
          <w:color w:val="auto"/>
          <w:szCs w:val="24"/>
          <w:highlight w:val="none"/>
          <w:lang w:val="en-US" w:eastAsia="zh-CN"/>
        </w:rPr>
        <w:t>3</w:t>
      </w:r>
      <w:r>
        <w:rPr>
          <w:rFonts w:hint="eastAsia" w:ascii="宋体" w:hAnsi="宋体" w:eastAsia="宋体" w:cs="宋体"/>
          <w:color w:val="auto"/>
          <w:szCs w:val="24"/>
          <w:highlight w:val="none"/>
        </w:rPr>
        <w:t>0分前。</w:t>
      </w:r>
    </w:p>
    <w:p>
      <w:pPr>
        <w:pStyle w:val="12"/>
        <w:kinsoku/>
        <w:wordWrap/>
        <w:overflowPunct/>
        <w:topLinePunct w:val="0"/>
        <w:bidi w:val="0"/>
        <w:spacing w:line="360" w:lineRule="auto"/>
        <w:ind w:firstLine="240" w:firstLineChars="100"/>
        <w:contextualSpacing/>
        <w:rPr>
          <w:rFonts w:hint="eastAsia" w:ascii="宋体" w:hAnsi="宋体" w:eastAsia="宋体" w:cs="宋体"/>
          <w:color w:val="auto"/>
          <w:szCs w:val="24"/>
          <w:highlight w:val="none"/>
        </w:rPr>
      </w:pPr>
      <w:r>
        <w:rPr>
          <w:rFonts w:hint="eastAsia" w:hAnsi="宋体" w:eastAsia="宋体" w:cs="宋体"/>
          <w:color w:val="auto"/>
          <w:szCs w:val="24"/>
          <w:highlight w:val="none"/>
          <w:lang w:val="en-US" w:eastAsia="zh-CN"/>
        </w:rPr>
        <w:t>6.</w:t>
      </w:r>
      <w:r>
        <w:rPr>
          <w:rFonts w:hint="eastAsia" w:ascii="宋体" w:hAnsi="宋体" w:eastAsia="宋体" w:cs="宋体"/>
          <w:color w:val="auto"/>
          <w:szCs w:val="24"/>
          <w:highlight w:val="none"/>
        </w:rPr>
        <w:t>2供应商应注意及时浏览网上发布的澄清和修改通知，因供应商原因未及时获知澄清、修改内容而导致的任何后果将由供应商人自行承担。</w:t>
      </w:r>
    </w:p>
    <w:p>
      <w:pPr>
        <w:pStyle w:val="12"/>
        <w:kinsoku/>
        <w:wordWrap/>
        <w:overflowPunct/>
        <w:topLinePunct w:val="0"/>
        <w:bidi w:val="0"/>
        <w:spacing w:line="360" w:lineRule="auto"/>
        <w:ind w:firstLine="240" w:firstLineChars="100"/>
        <w:contextualSpacing/>
        <w:rPr>
          <w:rFonts w:hint="eastAsia" w:ascii="宋体" w:hAnsi="宋体" w:eastAsia="宋体" w:cs="宋体"/>
          <w:b/>
          <w:color w:val="auto"/>
          <w:sz w:val="28"/>
          <w:szCs w:val="28"/>
          <w:highlight w:val="none"/>
        </w:rPr>
      </w:pPr>
      <w:r>
        <w:rPr>
          <w:rFonts w:hint="eastAsia" w:hAnsi="宋体" w:eastAsia="宋体" w:cs="宋体"/>
          <w:color w:val="auto"/>
          <w:szCs w:val="24"/>
          <w:highlight w:val="none"/>
          <w:lang w:val="en-US" w:eastAsia="zh-CN"/>
        </w:rPr>
        <w:t>6.</w:t>
      </w:r>
      <w:r>
        <w:rPr>
          <w:rFonts w:hint="eastAsia" w:ascii="宋体" w:hAnsi="宋体" w:eastAsia="宋体" w:cs="宋体"/>
          <w:color w:val="auto"/>
          <w:szCs w:val="24"/>
          <w:highlight w:val="none"/>
        </w:rPr>
        <w:t>3当谈判文件、修改通知、澄清内容相互矛盾时，以最后发出的文件为准。</w:t>
      </w:r>
      <w:r>
        <w:rPr>
          <w:rFonts w:hint="eastAsia" w:ascii="宋体" w:hAnsi="宋体" w:eastAsia="宋体" w:cs="宋体"/>
          <w:b/>
          <w:color w:val="auto"/>
          <w:sz w:val="28"/>
          <w:szCs w:val="28"/>
          <w:highlight w:val="none"/>
        </w:rPr>
        <w:t>7</w:t>
      </w:r>
      <w:r>
        <w:rPr>
          <w:rFonts w:hint="eastAsia" w:hAnsi="宋体" w:cs="宋体"/>
          <w:b/>
          <w:color w:val="auto"/>
          <w:sz w:val="28"/>
          <w:szCs w:val="28"/>
          <w:highlight w:val="none"/>
          <w:lang w:eastAsia="zh-CN"/>
        </w:rPr>
        <w:t>、</w:t>
      </w:r>
      <w:r>
        <w:rPr>
          <w:rFonts w:hint="eastAsia" w:ascii="宋体" w:hAnsi="宋体" w:eastAsia="宋体" w:cs="宋体"/>
          <w:b/>
          <w:color w:val="auto"/>
          <w:sz w:val="28"/>
          <w:szCs w:val="28"/>
          <w:highlight w:val="none"/>
        </w:rPr>
        <w:t>磋商文件的修改</w:t>
      </w:r>
    </w:p>
    <w:p>
      <w:pPr>
        <w:pStyle w:val="10"/>
        <w:kinsoku/>
        <w:wordWrap/>
        <w:overflowPunct/>
        <w:topLinePunct w:val="0"/>
        <w:bidi w:val="0"/>
        <w:spacing w:line="360" w:lineRule="auto"/>
        <w:ind w:firstLine="460" w:firstLineChars="202"/>
        <w:rPr>
          <w:rFonts w:hint="eastAsia" w:ascii="宋体" w:hAnsi="宋体" w:eastAsia="宋体" w:cs="宋体"/>
          <w:color w:val="auto"/>
          <w:spacing w:val="-6"/>
          <w:szCs w:val="24"/>
          <w:highlight w:val="none"/>
        </w:rPr>
      </w:pPr>
      <w:r>
        <w:rPr>
          <w:rFonts w:hint="eastAsia" w:ascii="宋体" w:hAnsi="宋体" w:eastAsia="宋体" w:cs="宋体"/>
          <w:color w:val="auto"/>
          <w:spacing w:val="-6"/>
          <w:szCs w:val="24"/>
          <w:highlight w:val="none"/>
        </w:rPr>
        <w:t>7.1采购人或者采购代理机构可以对已发出的磋商文件进行必要的澄清或者修改。澄清或者修改的内容可能影响响应文件编制的，采购人或者采购代理机构将在响应文件递交截止时间5日前在</w:t>
      </w:r>
      <w:r>
        <w:rPr>
          <w:rFonts w:hint="eastAsia" w:ascii="宋体" w:hAnsi="宋体" w:cs="宋体"/>
          <w:color w:val="auto"/>
          <w:sz w:val="24"/>
          <w:szCs w:val="24"/>
          <w:highlight w:val="none"/>
          <w:lang w:eastAsia="zh-CN"/>
        </w:rPr>
        <w:t>枝江金润源集团公司官网（http://www.zjjryjt.cn/）或湖北姚家港绿色化工投资控股集团有限公司（http://www.hbghjt.cn/）</w:t>
      </w:r>
      <w:r>
        <w:rPr>
          <w:rFonts w:hint="eastAsia" w:ascii="宋体" w:hAnsi="宋体" w:eastAsia="宋体" w:cs="宋体"/>
          <w:color w:val="auto"/>
          <w:spacing w:val="-6"/>
          <w:szCs w:val="24"/>
          <w:highlight w:val="none"/>
        </w:rPr>
        <w:t>发布更正公告</w:t>
      </w:r>
      <w:r>
        <w:rPr>
          <w:rFonts w:hint="eastAsia" w:ascii="宋体" w:hAnsi="宋体" w:eastAsia="宋体" w:cs="宋体"/>
          <w:color w:val="auto"/>
          <w:szCs w:val="24"/>
          <w:highlight w:val="none"/>
        </w:rPr>
        <w:t>。</w:t>
      </w:r>
    </w:p>
    <w:p>
      <w:pPr>
        <w:pStyle w:val="10"/>
        <w:kinsoku/>
        <w:wordWrap/>
        <w:overflowPunct/>
        <w:topLinePunct w:val="0"/>
        <w:bidi w:val="0"/>
        <w:spacing w:line="360" w:lineRule="auto"/>
        <w:ind w:firstLine="460" w:firstLineChars="202"/>
        <w:rPr>
          <w:rFonts w:hint="eastAsia" w:ascii="宋体" w:hAnsi="宋体" w:eastAsia="宋体" w:cs="宋体"/>
          <w:color w:val="auto"/>
          <w:spacing w:val="-6"/>
          <w:szCs w:val="24"/>
          <w:highlight w:val="none"/>
        </w:rPr>
      </w:pPr>
      <w:r>
        <w:rPr>
          <w:rFonts w:hint="eastAsia" w:ascii="宋体" w:hAnsi="宋体" w:eastAsia="宋体" w:cs="宋体"/>
          <w:color w:val="auto"/>
          <w:spacing w:val="-6"/>
          <w:szCs w:val="24"/>
          <w:highlight w:val="none"/>
        </w:rPr>
        <w:t>7.2澄清或者修改的内容是磋商文件的组成部分，将向所有供应商公布，并对供应商具有约束力。</w:t>
      </w:r>
    </w:p>
    <w:p>
      <w:pPr>
        <w:pStyle w:val="10"/>
        <w:kinsoku/>
        <w:wordWrap/>
        <w:overflowPunct/>
        <w:topLinePunct w:val="0"/>
        <w:bidi w:val="0"/>
        <w:spacing w:line="360" w:lineRule="auto"/>
        <w:ind w:firstLine="460" w:firstLineChars="202"/>
        <w:rPr>
          <w:rFonts w:hint="eastAsia" w:ascii="宋体" w:hAnsi="宋体" w:eastAsia="宋体" w:cs="宋体"/>
          <w:color w:val="auto"/>
          <w:spacing w:val="-6"/>
          <w:szCs w:val="24"/>
          <w:highlight w:val="none"/>
        </w:rPr>
      </w:pPr>
      <w:r>
        <w:rPr>
          <w:rFonts w:hint="eastAsia" w:ascii="宋体" w:hAnsi="宋体" w:eastAsia="宋体" w:cs="宋体"/>
          <w:color w:val="auto"/>
          <w:spacing w:val="-6"/>
          <w:szCs w:val="24"/>
          <w:highlight w:val="none"/>
        </w:rPr>
        <w:t>7.3为使供应商准备磋商时有充足时间对磋商文件的修改部分进行研究，采购单位可适当推迟磋商截止期，并</w:t>
      </w:r>
      <w:r>
        <w:rPr>
          <w:rFonts w:hint="eastAsia" w:ascii="宋体" w:hAnsi="宋体" w:eastAsia="宋体" w:cs="宋体"/>
          <w:color w:val="auto"/>
          <w:szCs w:val="24"/>
          <w:highlight w:val="none"/>
        </w:rPr>
        <w:t>通知所有供应商。</w:t>
      </w:r>
    </w:p>
    <w:p>
      <w:pPr>
        <w:pStyle w:val="10"/>
        <w:kinsoku/>
        <w:wordWrap/>
        <w:overflowPunct/>
        <w:topLinePunct w:val="0"/>
        <w:bidi w:val="0"/>
        <w:spacing w:line="360" w:lineRule="auto"/>
        <w:ind w:firstLine="460" w:firstLineChars="202"/>
        <w:rPr>
          <w:rFonts w:hint="eastAsia" w:ascii="宋体" w:hAnsi="宋体" w:eastAsia="宋体" w:cs="宋体"/>
          <w:color w:val="auto"/>
          <w:highlight w:val="none"/>
        </w:rPr>
      </w:pPr>
      <w:r>
        <w:rPr>
          <w:rFonts w:hint="eastAsia" w:ascii="宋体" w:hAnsi="宋体" w:eastAsia="宋体" w:cs="宋体"/>
          <w:color w:val="auto"/>
          <w:spacing w:val="-6"/>
          <w:szCs w:val="24"/>
          <w:highlight w:val="none"/>
        </w:rPr>
        <w:t>7.4因供应商原因未及时获知澄清、修改或补充内容而导致的任何后果将由供应商自行承担。</w:t>
      </w:r>
      <w:bookmarkStart w:id="50" w:name="_Toc459226624"/>
      <w:bookmarkStart w:id="51" w:name="_Toc11750"/>
      <w:bookmarkStart w:id="52" w:name="_Toc459297214"/>
      <w:bookmarkStart w:id="53" w:name="_Toc459227607"/>
      <w:bookmarkStart w:id="54" w:name="_Toc459227374"/>
      <w:bookmarkStart w:id="55" w:name="_Toc21138"/>
      <w:bookmarkStart w:id="56" w:name="_Toc459223848"/>
    </w:p>
    <w:p>
      <w:pPr>
        <w:pStyle w:val="9"/>
        <w:kinsoku/>
        <w:wordWrap/>
        <w:overflowPunct/>
        <w:topLinePunct w:val="0"/>
        <w:bidi w:val="0"/>
        <w:spacing w:line="360" w:lineRule="auto"/>
        <w:jc w:val="center"/>
        <w:rPr>
          <w:rFonts w:hint="eastAsia" w:ascii="宋体" w:hAnsi="宋体" w:eastAsia="宋体" w:cs="宋体"/>
          <w:color w:val="auto"/>
          <w:highlight w:val="none"/>
        </w:rPr>
      </w:pPr>
      <w:bookmarkStart w:id="57" w:name="_Toc30734"/>
      <w:r>
        <w:rPr>
          <w:rFonts w:hint="eastAsia" w:ascii="宋体" w:hAnsi="宋体" w:eastAsia="宋体" w:cs="宋体"/>
          <w:color w:val="auto"/>
          <w:highlight w:val="none"/>
        </w:rPr>
        <w:t>三、响应文件的编制和数量</w:t>
      </w:r>
      <w:bookmarkEnd w:id="50"/>
      <w:bookmarkEnd w:id="51"/>
      <w:bookmarkEnd w:id="52"/>
      <w:bookmarkEnd w:id="53"/>
      <w:bookmarkEnd w:id="54"/>
      <w:bookmarkEnd w:id="55"/>
      <w:bookmarkEnd w:id="56"/>
      <w:bookmarkEnd w:id="57"/>
    </w:p>
    <w:p>
      <w:pPr>
        <w:pStyle w:val="12"/>
        <w:kinsoku/>
        <w:wordWrap/>
        <w:overflowPunct/>
        <w:topLinePunct w:val="0"/>
        <w:bidi w:val="0"/>
        <w:spacing w:line="360" w:lineRule="auto"/>
        <w:ind w:firstLine="281" w:firstLineChars="100"/>
        <w:contextualSpacing/>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8</w:t>
      </w:r>
      <w:r>
        <w:rPr>
          <w:rFonts w:hint="eastAsia" w:hAnsi="宋体" w:cs="宋体"/>
          <w:b/>
          <w:color w:val="auto"/>
          <w:sz w:val="28"/>
          <w:szCs w:val="28"/>
          <w:highlight w:val="none"/>
          <w:lang w:eastAsia="zh-CN"/>
        </w:rPr>
        <w:t>、</w:t>
      </w:r>
      <w:r>
        <w:rPr>
          <w:rFonts w:hint="eastAsia" w:ascii="宋体" w:hAnsi="宋体" w:eastAsia="宋体" w:cs="宋体"/>
          <w:b/>
          <w:color w:val="auto"/>
          <w:sz w:val="28"/>
          <w:szCs w:val="28"/>
          <w:highlight w:val="none"/>
        </w:rPr>
        <w:t>磋商的语言</w:t>
      </w:r>
    </w:p>
    <w:p>
      <w:pPr>
        <w:pStyle w:val="10"/>
        <w:kinsoku/>
        <w:wordWrap/>
        <w:overflowPunct/>
        <w:topLinePunct w:val="0"/>
        <w:bidi w:val="0"/>
        <w:spacing w:line="360" w:lineRule="auto"/>
        <w:ind w:firstLine="460" w:firstLineChars="202"/>
        <w:rPr>
          <w:rFonts w:hint="eastAsia" w:ascii="宋体" w:hAnsi="宋体" w:eastAsia="宋体" w:cs="宋体"/>
          <w:color w:val="auto"/>
          <w:spacing w:val="-6"/>
          <w:sz w:val="28"/>
          <w:szCs w:val="28"/>
          <w:highlight w:val="none"/>
        </w:rPr>
      </w:pPr>
      <w:r>
        <w:rPr>
          <w:rFonts w:hint="eastAsia" w:ascii="宋体" w:hAnsi="宋体" w:eastAsia="宋体" w:cs="宋体"/>
          <w:color w:val="auto"/>
          <w:spacing w:val="-6"/>
          <w:szCs w:val="24"/>
          <w:highlight w:val="none"/>
        </w:rPr>
        <w:t>8.1供应商提交的响应文件以及供应商与采购单位就有关磋商的所有来往函电均应使用中文。供应商提交的支持文件或印刷的文献可以用另一种语言，但相应内容应附有中文翻译本，在解释响应文件的修改内容时以中文翻译本为准。</w:t>
      </w:r>
    </w:p>
    <w:p>
      <w:pPr>
        <w:pStyle w:val="12"/>
        <w:kinsoku/>
        <w:wordWrap/>
        <w:overflowPunct/>
        <w:topLinePunct w:val="0"/>
        <w:bidi w:val="0"/>
        <w:spacing w:line="360" w:lineRule="auto"/>
        <w:ind w:firstLine="281" w:firstLineChars="100"/>
        <w:contextualSpacing/>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9</w:t>
      </w:r>
      <w:r>
        <w:rPr>
          <w:rFonts w:hint="eastAsia" w:hAnsi="宋体" w:cs="宋体"/>
          <w:b/>
          <w:color w:val="auto"/>
          <w:sz w:val="28"/>
          <w:szCs w:val="28"/>
          <w:highlight w:val="none"/>
          <w:lang w:eastAsia="zh-CN"/>
        </w:rPr>
        <w:t>、</w:t>
      </w:r>
      <w:r>
        <w:rPr>
          <w:rFonts w:hint="eastAsia" w:ascii="宋体" w:hAnsi="宋体" w:eastAsia="宋体" w:cs="宋体"/>
          <w:b/>
          <w:color w:val="auto"/>
          <w:sz w:val="28"/>
          <w:szCs w:val="28"/>
          <w:highlight w:val="none"/>
        </w:rPr>
        <w:t>响应文件的构成</w:t>
      </w:r>
    </w:p>
    <w:p>
      <w:pPr>
        <w:pStyle w:val="10"/>
        <w:kinsoku/>
        <w:wordWrap/>
        <w:overflowPunct/>
        <w:topLinePunct w:val="0"/>
        <w:bidi w:val="0"/>
        <w:spacing w:line="360" w:lineRule="auto"/>
        <w:ind w:firstLine="484" w:firstLineChars="202"/>
        <w:rPr>
          <w:rFonts w:hint="eastAsia" w:ascii="宋体" w:hAnsi="宋体" w:eastAsia="宋体" w:cs="宋体"/>
          <w:color w:val="auto"/>
          <w:szCs w:val="24"/>
          <w:highlight w:val="none"/>
        </w:rPr>
      </w:pPr>
      <w:r>
        <w:rPr>
          <w:rFonts w:hint="eastAsia" w:ascii="宋体" w:hAnsi="宋体" w:eastAsia="宋体" w:cs="宋体"/>
          <w:color w:val="auto"/>
          <w:szCs w:val="24"/>
          <w:highlight w:val="none"/>
        </w:rPr>
        <w:t>9.1供应商编制的响应文件应包括但不少于下列内容：</w:t>
      </w:r>
    </w:p>
    <w:p>
      <w:pPr>
        <w:pStyle w:val="12"/>
        <w:kinsoku/>
        <w:wordWrap/>
        <w:overflowPunct/>
        <w:topLinePunct w:val="0"/>
        <w:bidi w:val="0"/>
        <w:spacing w:line="360" w:lineRule="auto"/>
        <w:ind w:firstLine="482" w:firstLineChars="201"/>
        <w:contextualSpacing/>
        <w:rPr>
          <w:rFonts w:hint="eastAsia" w:ascii="宋体" w:hAnsi="宋体" w:eastAsia="宋体" w:cs="宋体"/>
          <w:color w:val="auto"/>
          <w:szCs w:val="24"/>
          <w:highlight w:val="none"/>
        </w:rPr>
      </w:pPr>
      <w:r>
        <w:rPr>
          <w:rFonts w:hint="eastAsia" w:ascii="宋体" w:hAnsi="宋体" w:eastAsia="宋体" w:cs="宋体"/>
          <w:color w:val="auto"/>
          <w:szCs w:val="24"/>
          <w:highlight w:val="none"/>
        </w:rPr>
        <w:t>（1）竞争性磋商响应函；</w:t>
      </w:r>
    </w:p>
    <w:p>
      <w:pPr>
        <w:pStyle w:val="12"/>
        <w:kinsoku/>
        <w:wordWrap/>
        <w:overflowPunct/>
        <w:topLinePunct w:val="0"/>
        <w:bidi w:val="0"/>
        <w:spacing w:line="360" w:lineRule="auto"/>
        <w:ind w:firstLine="482" w:firstLineChars="201"/>
        <w:contextualSpacing/>
        <w:rPr>
          <w:rFonts w:hint="eastAsia" w:ascii="宋体" w:hAnsi="宋体" w:eastAsia="宋体" w:cs="宋体"/>
          <w:color w:val="auto"/>
          <w:szCs w:val="24"/>
          <w:highlight w:val="none"/>
        </w:rPr>
      </w:pPr>
      <w:r>
        <w:rPr>
          <w:rFonts w:hint="eastAsia" w:ascii="宋体" w:hAnsi="宋体" w:eastAsia="宋体" w:cs="宋体"/>
          <w:color w:val="auto"/>
          <w:szCs w:val="24"/>
          <w:highlight w:val="none"/>
        </w:rPr>
        <w:t>（2）竞争性磋商报价一览表；</w:t>
      </w:r>
    </w:p>
    <w:p>
      <w:pPr>
        <w:pStyle w:val="12"/>
        <w:kinsoku/>
        <w:wordWrap/>
        <w:overflowPunct/>
        <w:topLinePunct w:val="0"/>
        <w:bidi w:val="0"/>
        <w:spacing w:line="360" w:lineRule="auto"/>
        <w:ind w:firstLine="482" w:firstLineChars="201"/>
        <w:contextualSpacing/>
        <w:rPr>
          <w:rFonts w:hint="eastAsia" w:ascii="宋体" w:hAnsi="宋体" w:eastAsia="宋体" w:cs="宋体"/>
          <w:color w:val="auto"/>
          <w:szCs w:val="24"/>
          <w:highlight w:val="none"/>
        </w:rPr>
      </w:pPr>
      <w:r>
        <w:rPr>
          <w:rFonts w:hint="eastAsia" w:ascii="宋体" w:hAnsi="宋体" w:eastAsia="宋体" w:cs="宋体"/>
          <w:color w:val="auto"/>
          <w:szCs w:val="24"/>
          <w:highlight w:val="none"/>
        </w:rPr>
        <w:t>（3）法定代表人身份证明书；</w:t>
      </w:r>
    </w:p>
    <w:p>
      <w:pPr>
        <w:pStyle w:val="12"/>
        <w:kinsoku/>
        <w:wordWrap/>
        <w:overflowPunct/>
        <w:topLinePunct w:val="0"/>
        <w:bidi w:val="0"/>
        <w:spacing w:line="360" w:lineRule="auto"/>
        <w:ind w:firstLine="482" w:firstLineChars="201"/>
        <w:contextualSpacing/>
        <w:rPr>
          <w:rFonts w:hint="eastAsia" w:ascii="宋体" w:hAnsi="宋体" w:eastAsia="宋体" w:cs="宋体"/>
          <w:color w:val="auto"/>
          <w:szCs w:val="24"/>
          <w:highlight w:val="none"/>
        </w:rPr>
      </w:pPr>
      <w:r>
        <w:rPr>
          <w:rFonts w:hint="eastAsia" w:ascii="宋体" w:hAnsi="宋体" w:eastAsia="宋体" w:cs="宋体"/>
          <w:color w:val="auto"/>
          <w:szCs w:val="24"/>
          <w:highlight w:val="none"/>
        </w:rPr>
        <w:t>（4）法定代表人授权委托书（如有授权）；</w:t>
      </w:r>
    </w:p>
    <w:p>
      <w:pPr>
        <w:pStyle w:val="12"/>
        <w:kinsoku/>
        <w:wordWrap/>
        <w:overflowPunct/>
        <w:topLinePunct w:val="0"/>
        <w:bidi w:val="0"/>
        <w:spacing w:line="360" w:lineRule="auto"/>
        <w:ind w:firstLine="482" w:firstLineChars="201"/>
        <w:contextualSpacing/>
        <w:rPr>
          <w:rFonts w:hint="eastAsia" w:ascii="宋体" w:hAnsi="宋体" w:eastAsia="宋体" w:cs="宋体"/>
          <w:color w:val="auto"/>
          <w:szCs w:val="24"/>
          <w:highlight w:val="none"/>
        </w:rPr>
      </w:pPr>
      <w:r>
        <w:rPr>
          <w:rFonts w:hint="eastAsia" w:ascii="宋体" w:hAnsi="宋体" w:eastAsia="宋体" w:cs="宋体"/>
          <w:color w:val="auto"/>
          <w:szCs w:val="24"/>
          <w:highlight w:val="none"/>
        </w:rPr>
        <w:t>（5）资格审查资料；</w:t>
      </w:r>
    </w:p>
    <w:p>
      <w:pPr>
        <w:pStyle w:val="12"/>
        <w:kinsoku/>
        <w:wordWrap/>
        <w:overflowPunct/>
        <w:topLinePunct w:val="0"/>
        <w:bidi w:val="0"/>
        <w:spacing w:line="360" w:lineRule="auto"/>
        <w:ind w:firstLine="482" w:firstLineChars="201"/>
        <w:contextualSpacing/>
        <w:rPr>
          <w:rFonts w:hint="eastAsia" w:ascii="宋体" w:hAnsi="宋体" w:eastAsia="宋体" w:cs="宋体"/>
          <w:color w:val="auto"/>
          <w:szCs w:val="24"/>
          <w:highlight w:val="none"/>
        </w:rPr>
      </w:pPr>
      <w:r>
        <w:rPr>
          <w:rFonts w:hint="eastAsia" w:ascii="宋体" w:hAnsi="宋体" w:eastAsia="宋体" w:cs="宋体"/>
          <w:color w:val="auto"/>
          <w:szCs w:val="24"/>
          <w:highlight w:val="none"/>
        </w:rPr>
        <w:t>（6）拟派项目人员（附身份证等</w:t>
      </w:r>
      <w:r>
        <w:rPr>
          <w:rFonts w:hint="eastAsia" w:ascii="宋体" w:hAnsi="宋体" w:eastAsia="宋体" w:cs="宋体"/>
          <w:color w:val="auto"/>
          <w:szCs w:val="24"/>
          <w:highlight w:val="none"/>
          <w:lang w:val="en-US" w:eastAsia="zh-CN"/>
        </w:rPr>
        <w:t>相关证书</w:t>
      </w:r>
      <w:r>
        <w:rPr>
          <w:rFonts w:hint="eastAsia" w:ascii="宋体" w:hAnsi="宋体" w:eastAsia="宋体" w:cs="宋体"/>
          <w:color w:val="auto"/>
          <w:szCs w:val="24"/>
          <w:highlight w:val="none"/>
        </w:rPr>
        <w:t>）；</w:t>
      </w:r>
    </w:p>
    <w:p>
      <w:pPr>
        <w:pStyle w:val="12"/>
        <w:kinsoku/>
        <w:wordWrap/>
        <w:overflowPunct/>
        <w:topLinePunct w:val="0"/>
        <w:bidi w:val="0"/>
        <w:spacing w:line="360" w:lineRule="auto"/>
        <w:ind w:firstLine="482" w:firstLineChars="201"/>
        <w:contextualSpacing/>
        <w:rPr>
          <w:rFonts w:hint="eastAsia" w:ascii="宋体" w:hAnsi="宋体" w:eastAsia="宋体" w:cs="宋体"/>
          <w:color w:val="auto"/>
          <w:szCs w:val="24"/>
          <w:highlight w:val="none"/>
        </w:rPr>
      </w:pPr>
      <w:r>
        <w:rPr>
          <w:rFonts w:hint="eastAsia" w:ascii="宋体" w:hAnsi="宋体" w:eastAsia="宋体" w:cs="宋体"/>
          <w:color w:val="auto"/>
          <w:szCs w:val="24"/>
          <w:highlight w:val="none"/>
        </w:rPr>
        <w:t>（7）供应商应提交的其他证明材料（磋商所需相关证件资料）。</w:t>
      </w:r>
    </w:p>
    <w:p>
      <w:pPr>
        <w:pStyle w:val="12"/>
        <w:kinsoku/>
        <w:wordWrap/>
        <w:overflowPunct/>
        <w:topLinePunct w:val="0"/>
        <w:bidi w:val="0"/>
        <w:spacing w:line="360" w:lineRule="auto"/>
        <w:ind w:firstLine="281" w:firstLineChars="100"/>
        <w:contextualSpacing/>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10</w:t>
      </w:r>
      <w:r>
        <w:rPr>
          <w:rFonts w:hint="eastAsia" w:hAnsi="宋体" w:cs="宋体"/>
          <w:b/>
          <w:color w:val="auto"/>
          <w:sz w:val="28"/>
          <w:szCs w:val="28"/>
          <w:highlight w:val="none"/>
          <w:lang w:eastAsia="zh-CN"/>
        </w:rPr>
        <w:t>、</w:t>
      </w:r>
      <w:r>
        <w:rPr>
          <w:rFonts w:hint="eastAsia" w:ascii="宋体" w:hAnsi="宋体" w:eastAsia="宋体" w:cs="宋体"/>
          <w:b/>
          <w:color w:val="auto"/>
          <w:sz w:val="28"/>
          <w:szCs w:val="28"/>
          <w:highlight w:val="none"/>
        </w:rPr>
        <w:t>响应文件编制</w:t>
      </w:r>
    </w:p>
    <w:p>
      <w:pPr>
        <w:pStyle w:val="10"/>
        <w:kinsoku/>
        <w:wordWrap/>
        <w:overflowPunct/>
        <w:topLinePunct w:val="0"/>
        <w:bidi w:val="0"/>
        <w:spacing w:line="360" w:lineRule="auto"/>
        <w:ind w:firstLine="484" w:firstLineChars="202"/>
        <w:rPr>
          <w:rFonts w:hint="eastAsia" w:ascii="宋体" w:hAnsi="宋体" w:eastAsia="宋体" w:cs="宋体"/>
          <w:color w:val="auto"/>
          <w:szCs w:val="24"/>
          <w:highlight w:val="none"/>
        </w:rPr>
      </w:pPr>
      <w:r>
        <w:rPr>
          <w:rFonts w:hint="eastAsia" w:ascii="宋体" w:hAnsi="宋体" w:eastAsia="宋体" w:cs="宋体"/>
          <w:color w:val="auto"/>
          <w:szCs w:val="24"/>
          <w:highlight w:val="none"/>
        </w:rPr>
        <w:t>10.1供应商应将响应文件按顺序装订成册，并编制响应文件资料目录。</w:t>
      </w:r>
    </w:p>
    <w:p>
      <w:pPr>
        <w:pStyle w:val="10"/>
        <w:kinsoku/>
        <w:wordWrap/>
        <w:overflowPunct/>
        <w:topLinePunct w:val="0"/>
        <w:bidi w:val="0"/>
        <w:spacing w:line="360" w:lineRule="auto"/>
        <w:ind w:firstLine="484" w:firstLineChars="202"/>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10.2响应文件应采用A4规格纸张进行打印并装订，对未经装订的响应文件可能发生的文件散落或缺损，由此产生的后果其责任由供应商承担； </w:t>
      </w:r>
    </w:p>
    <w:p>
      <w:pPr>
        <w:pStyle w:val="10"/>
        <w:kinsoku/>
        <w:wordWrap/>
        <w:overflowPunct/>
        <w:topLinePunct w:val="0"/>
        <w:bidi w:val="0"/>
        <w:spacing w:line="360" w:lineRule="auto"/>
        <w:ind w:firstLine="484" w:firstLineChars="202"/>
        <w:rPr>
          <w:rFonts w:hint="eastAsia" w:ascii="宋体" w:hAnsi="宋体" w:eastAsia="宋体" w:cs="宋体"/>
          <w:color w:val="auto"/>
          <w:kern w:val="0"/>
          <w:sz w:val="28"/>
          <w:szCs w:val="28"/>
          <w:highlight w:val="none"/>
        </w:rPr>
      </w:pPr>
      <w:r>
        <w:rPr>
          <w:rFonts w:hint="eastAsia" w:ascii="宋体" w:hAnsi="宋体" w:eastAsia="宋体" w:cs="宋体"/>
          <w:color w:val="auto"/>
          <w:szCs w:val="24"/>
          <w:highlight w:val="none"/>
        </w:rPr>
        <w:t>10.3响应文件须加盖供应商单位公章，并由法定代表人或经其正式授权的代表签字。如为授权代表签字，其《法定代表人授权书》应附在响应文件中。否则视为无效响应文件</w:t>
      </w:r>
      <w:r>
        <w:rPr>
          <w:rFonts w:hint="eastAsia" w:ascii="宋体" w:hAnsi="宋体" w:eastAsia="宋体" w:cs="宋体"/>
          <w:color w:val="auto"/>
          <w:sz w:val="28"/>
          <w:szCs w:val="28"/>
          <w:highlight w:val="none"/>
        </w:rPr>
        <w:t>。</w:t>
      </w:r>
      <w:r>
        <w:rPr>
          <w:rFonts w:hint="eastAsia" w:ascii="宋体" w:hAnsi="宋体" w:eastAsia="宋体" w:cs="宋体"/>
          <w:color w:val="auto"/>
          <w:kern w:val="0"/>
          <w:sz w:val="28"/>
          <w:szCs w:val="28"/>
          <w:highlight w:val="none"/>
        </w:rPr>
        <w:t xml:space="preserve"> </w:t>
      </w:r>
    </w:p>
    <w:p>
      <w:pPr>
        <w:pStyle w:val="12"/>
        <w:kinsoku/>
        <w:wordWrap/>
        <w:overflowPunct/>
        <w:topLinePunct w:val="0"/>
        <w:bidi w:val="0"/>
        <w:spacing w:line="360" w:lineRule="auto"/>
        <w:ind w:firstLine="281" w:firstLineChars="100"/>
        <w:contextualSpacing/>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11</w:t>
      </w:r>
      <w:r>
        <w:rPr>
          <w:rFonts w:hint="eastAsia" w:hAnsi="宋体" w:cs="宋体"/>
          <w:b/>
          <w:color w:val="auto"/>
          <w:sz w:val="28"/>
          <w:szCs w:val="28"/>
          <w:highlight w:val="none"/>
          <w:lang w:eastAsia="zh-CN"/>
        </w:rPr>
        <w:t>、</w:t>
      </w:r>
      <w:r>
        <w:rPr>
          <w:rFonts w:hint="eastAsia" w:ascii="宋体" w:hAnsi="宋体" w:eastAsia="宋体" w:cs="宋体"/>
          <w:b/>
          <w:color w:val="auto"/>
          <w:sz w:val="28"/>
          <w:szCs w:val="28"/>
          <w:highlight w:val="none"/>
        </w:rPr>
        <w:t>磋商报价</w:t>
      </w:r>
    </w:p>
    <w:p>
      <w:pPr>
        <w:pStyle w:val="10"/>
        <w:kinsoku/>
        <w:wordWrap/>
        <w:overflowPunct/>
        <w:topLinePunct w:val="0"/>
        <w:bidi w:val="0"/>
        <w:spacing w:line="360" w:lineRule="auto"/>
        <w:ind w:firstLine="484" w:firstLineChars="202"/>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11.1 供应商所提供的服务均以人民币报价。</w:t>
      </w:r>
    </w:p>
    <w:p>
      <w:pPr>
        <w:pStyle w:val="10"/>
        <w:kinsoku/>
        <w:wordWrap/>
        <w:overflowPunct/>
        <w:topLinePunct w:val="0"/>
        <w:bidi w:val="0"/>
        <w:spacing w:line="360" w:lineRule="auto"/>
        <w:ind w:firstLine="484" w:firstLineChars="202"/>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11.2 供应商应按照“第三章 采购需求”规定的服务内容、责任范围以及合同条款进行报价。并按磋商报价及承诺书确定的格式报出总价。</w:t>
      </w:r>
    </w:p>
    <w:p>
      <w:pPr>
        <w:pStyle w:val="10"/>
        <w:kinsoku/>
        <w:wordWrap/>
        <w:overflowPunct/>
        <w:topLinePunct w:val="0"/>
        <w:bidi w:val="0"/>
        <w:spacing w:line="360" w:lineRule="auto"/>
        <w:ind w:firstLine="484" w:firstLineChars="202"/>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11.3供应商所报的磋商价在合同执行过程中是固定不变的，不得以任何理由予以变更。</w:t>
      </w:r>
    </w:p>
    <w:p>
      <w:pPr>
        <w:pStyle w:val="10"/>
        <w:kinsoku/>
        <w:wordWrap/>
        <w:overflowPunct/>
        <w:topLinePunct w:val="0"/>
        <w:bidi w:val="0"/>
        <w:spacing w:line="360" w:lineRule="auto"/>
        <w:ind w:firstLine="484" w:firstLineChars="202"/>
        <w:rPr>
          <w:rFonts w:hint="eastAsia" w:ascii="宋体" w:hAnsi="宋体" w:eastAsia="宋体" w:cs="宋体"/>
          <w:color w:val="auto"/>
          <w:kern w:val="0"/>
          <w:sz w:val="28"/>
          <w:szCs w:val="28"/>
          <w:highlight w:val="none"/>
        </w:rPr>
      </w:pPr>
      <w:r>
        <w:rPr>
          <w:rFonts w:hint="eastAsia" w:ascii="宋体" w:hAnsi="宋体" w:eastAsia="宋体" w:cs="宋体"/>
          <w:color w:val="auto"/>
          <w:kern w:val="0"/>
          <w:szCs w:val="24"/>
          <w:highlight w:val="none"/>
        </w:rPr>
        <w:t>11.4供应商的磋商报价超过项目采购预算的为无效磋商。</w:t>
      </w:r>
    </w:p>
    <w:p>
      <w:pPr>
        <w:pStyle w:val="12"/>
        <w:kinsoku/>
        <w:wordWrap/>
        <w:overflowPunct/>
        <w:topLinePunct w:val="0"/>
        <w:bidi w:val="0"/>
        <w:spacing w:line="360" w:lineRule="auto"/>
        <w:ind w:firstLine="281" w:firstLineChars="100"/>
        <w:contextualSpacing/>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12</w:t>
      </w:r>
      <w:r>
        <w:rPr>
          <w:rFonts w:hint="eastAsia" w:hAnsi="宋体" w:cs="宋体"/>
          <w:b/>
          <w:color w:val="auto"/>
          <w:sz w:val="28"/>
          <w:szCs w:val="28"/>
          <w:highlight w:val="none"/>
          <w:lang w:eastAsia="zh-CN"/>
        </w:rPr>
        <w:t>、</w:t>
      </w:r>
      <w:r>
        <w:rPr>
          <w:rFonts w:hint="eastAsia" w:ascii="宋体" w:hAnsi="宋体" w:eastAsia="宋体" w:cs="宋体"/>
          <w:b/>
          <w:color w:val="auto"/>
          <w:sz w:val="28"/>
          <w:szCs w:val="28"/>
          <w:highlight w:val="none"/>
        </w:rPr>
        <w:t>备选方案</w:t>
      </w:r>
    </w:p>
    <w:p>
      <w:pPr>
        <w:pStyle w:val="10"/>
        <w:kinsoku/>
        <w:wordWrap/>
        <w:overflowPunct/>
        <w:topLinePunct w:val="0"/>
        <w:bidi w:val="0"/>
        <w:spacing w:line="360" w:lineRule="auto"/>
        <w:ind w:firstLine="484" w:firstLineChars="202"/>
        <w:rPr>
          <w:rFonts w:hint="eastAsia" w:ascii="宋体" w:hAnsi="宋体" w:eastAsia="宋体" w:cs="宋体"/>
          <w:color w:val="auto"/>
          <w:kern w:val="0"/>
          <w:sz w:val="28"/>
          <w:szCs w:val="28"/>
          <w:highlight w:val="none"/>
        </w:rPr>
      </w:pPr>
      <w:r>
        <w:rPr>
          <w:rFonts w:hint="eastAsia" w:ascii="宋体" w:hAnsi="宋体" w:eastAsia="宋体" w:cs="宋体"/>
          <w:color w:val="auto"/>
          <w:szCs w:val="24"/>
          <w:highlight w:val="none"/>
        </w:rPr>
        <w:t>12.1</w:t>
      </w:r>
      <w:r>
        <w:rPr>
          <w:rFonts w:hint="eastAsia" w:ascii="宋体" w:hAnsi="宋体" w:eastAsia="宋体" w:cs="宋体"/>
          <w:color w:val="auto"/>
          <w:kern w:val="0"/>
          <w:szCs w:val="24"/>
          <w:highlight w:val="none"/>
        </w:rPr>
        <w:t>供应商应按照供应商须知前附表要求编制磋商备选方案，否则</w:t>
      </w:r>
      <w:r>
        <w:rPr>
          <w:rFonts w:hint="eastAsia" w:ascii="宋体" w:hAnsi="宋体" w:eastAsia="宋体" w:cs="宋体"/>
          <w:color w:val="auto"/>
          <w:szCs w:val="24"/>
          <w:highlight w:val="none"/>
        </w:rPr>
        <w:t>将被视为无效磋商</w:t>
      </w:r>
      <w:r>
        <w:rPr>
          <w:rFonts w:hint="eastAsia" w:ascii="宋体" w:hAnsi="宋体" w:eastAsia="宋体" w:cs="宋体"/>
          <w:color w:val="auto"/>
          <w:kern w:val="0"/>
          <w:szCs w:val="24"/>
          <w:highlight w:val="none"/>
        </w:rPr>
        <w:t>。</w:t>
      </w:r>
    </w:p>
    <w:p>
      <w:pPr>
        <w:pStyle w:val="12"/>
        <w:kinsoku/>
        <w:wordWrap/>
        <w:overflowPunct/>
        <w:topLinePunct w:val="0"/>
        <w:bidi w:val="0"/>
        <w:spacing w:line="360" w:lineRule="auto"/>
        <w:ind w:firstLine="281" w:firstLineChars="100"/>
        <w:contextualSpacing/>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13</w:t>
      </w:r>
      <w:r>
        <w:rPr>
          <w:rFonts w:hint="eastAsia" w:hAnsi="宋体" w:cs="宋体"/>
          <w:b/>
          <w:color w:val="auto"/>
          <w:sz w:val="28"/>
          <w:szCs w:val="28"/>
          <w:highlight w:val="none"/>
          <w:lang w:eastAsia="zh-CN"/>
        </w:rPr>
        <w:t>、</w:t>
      </w:r>
      <w:r>
        <w:rPr>
          <w:rFonts w:hint="eastAsia" w:ascii="宋体" w:hAnsi="宋体" w:eastAsia="宋体" w:cs="宋体"/>
          <w:b/>
          <w:color w:val="auto"/>
          <w:sz w:val="28"/>
          <w:szCs w:val="28"/>
          <w:highlight w:val="none"/>
        </w:rPr>
        <w:t>联合体磋商</w:t>
      </w:r>
    </w:p>
    <w:p>
      <w:pPr>
        <w:pStyle w:val="10"/>
        <w:kinsoku/>
        <w:wordWrap/>
        <w:overflowPunct/>
        <w:topLinePunct w:val="0"/>
        <w:bidi w:val="0"/>
        <w:spacing w:line="360" w:lineRule="auto"/>
        <w:ind w:firstLine="484" w:firstLineChars="202"/>
        <w:rPr>
          <w:rFonts w:hint="eastAsia" w:ascii="宋体" w:hAnsi="宋体" w:eastAsia="宋体" w:cs="宋体"/>
          <w:color w:val="auto"/>
          <w:kern w:val="0"/>
          <w:sz w:val="28"/>
          <w:szCs w:val="28"/>
          <w:highlight w:val="none"/>
        </w:rPr>
      </w:pPr>
      <w:r>
        <w:rPr>
          <w:rFonts w:hint="eastAsia" w:ascii="宋体" w:hAnsi="宋体" w:eastAsia="宋体" w:cs="宋体"/>
          <w:color w:val="auto"/>
          <w:kern w:val="0"/>
          <w:szCs w:val="24"/>
          <w:highlight w:val="none"/>
        </w:rPr>
        <w:t>13.1本项目不接受联合体磋商。</w:t>
      </w:r>
    </w:p>
    <w:p>
      <w:pPr>
        <w:pStyle w:val="12"/>
        <w:kinsoku/>
        <w:wordWrap/>
        <w:overflowPunct/>
        <w:topLinePunct w:val="0"/>
        <w:bidi w:val="0"/>
        <w:spacing w:line="360" w:lineRule="auto"/>
        <w:ind w:firstLine="281" w:firstLineChars="100"/>
        <w:contextualSpacing/>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14</w:t>
      </w:r>
      <w:r>
        <w:rPr>
          <w:rFonts w:hint="eastAsia" w:hAnsi="宋体" w:cs="宋体"/>
          <w:b/>
          <w:color w:val="auto"/>
          <w:sz w:val="28"/>
          <w:szCs w:val="28"/>
          <w:highlight w:val="none"/>
          <w:lang w:eastAsia="zh-CN"/>
        </w:rPr>
        <w:t>、</w:t>
      </w:r>
      <w:r>
        <w:rPr>
          <w:rFonts w:hint="eastAsia" w:ascii="宋体" w:hAnsi="宋体" w:eastAsia="宋体" w:cs="宋体"/>
          <w:b/>
          <w:color w:val="auto"/>
          <w:sz w:val="28"/>
          <w:szCs w:val="28"/>
          <w:highlight w:val="none"/>
        </w:rPr>
        <w:t>供应商资格证明文件</w:t>
      </w:r>
    </w:p>
    <w:p>
      <w:pPr>
        <w:pStyle w:val="10"/>
        <w:kinsoku/>
        <w:wordWrap/>
        <w:overflowPunct/>
        <w:topLinePunct w:val="0"/>
        <w:bidi w:val="0"/>
        <w:spacing w:line="360" w:lineRule="auto"/>
        <w:ind w:firstLine="484" w:firstLineChars="202"/>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14.1供应商应提交证明其有资格参加磋商和成交后有能力履行合同的文件，并作为其响应文件的一部分。</w:t>
      </w:r>
    </w:p>
    <w:p>
      <w:pPr>
        <w:pStyle w:val="10"/>
        <w:kinsoku/>
        <w:wordWrap/>
        <w:overflowPunct/>
        <w:topLinePunct w:val="0"/>
        <w:bidi w:val="0"/>
        <w:spacing w:line="360" w:lineRule="auto"/>
        <w:ind w:firstLine="484" w:firstLineChars="202"/>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14.2资格证明文件必须真实可靠、不得伪造。</w:t>
      </w:r>
    </w:p>
    <w:p>
      <w:pPr>
        <w:pStyle w:val="10"/>
        <w:kinsoku/>
        <w:wordWrap/>
        <w:overflowPunct/>
        <w:topLinePunct w:val="0"/>
        <w:bidi w:val="0"/>
        <w:spacing w:line="360" w:lineRule="auto"/>
        <w:ind w:firstLine="484" w:firstLineChars="202"/>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14.3供应商相关资格证明文件：</w:t>
      </w:r>
    </w:p>
    <w:p>
      <w:pPr>
        <w:pStyle w:val="10"/>
        <w:kinsoku/>
        <w:wordWrap/>
        <w:overflowPunct/>
        <w:topLinePunct w:val="0"/>
        <w:bidi w:val="0"/>
        <w:spacing w:line="360" w:lineRule="auto"/>
        <w:ind w:firstLine="484" w:firstLineChars="202"/>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（1）法人或者其他组织的营业执照或事业单位法人证书等证明文件，自然人的身份证明；</w:t>
      </w:r>
    </w:p>
    <w:p>
      <w:pPr>
        <w:pStyle w:val="10"/>
        <w:kinsoku/>
        <w:wordWrap/>
        <w:overflowPunct/>
        <w:topLinePunct w:val="0"/>
        <w:bidi w:val="0"/>
        <w:spacing w:line="360" w:lineRule="auto"/>
        <w:ind w:firstLine="484" w:firstLineChars="202"/>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（2）参加采购活动前3年内在经营活动中没有重大违法记录的书面声明；</w:t>
      </w:r>
    </w:p>
    <w:p>
      <w:pPr>
        <w:pStyle w:val="10"/>
        <w:kinsoku/>
        <w:wordWrap/>
        <w:overflowPunct/>
        <w:topLinePunct w:val="0"/>
        <w:bidi w:val="0"/>
        <w:spacing w:line="360" w:lineRule="auto"/>
        <w:ind w:firstLine="484" w:firstLineChars="202"/>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（3）具备法律、行政法规规定的其他条件的证明材料；</w:t>
      </w:r>
    </w:p>
    <w:p>
      <w:pPr>
        <w:pStyle w:val="10"/>
        <w:kinsoku/>
        <w:wordWrap/>
        <w:overflowPunct/>
        <w:topLinePunct w:val="0"/>
        <w:bidi w:val="0"/>
        <w:spacing w:line="360" w:lineRule="auto"/>
        <w:ind w:firstLine="484" w:firstLineChars="202"/>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（4）采购项目有特殊要求的，供应商还应当提供其符合特殊要求的证明材料或者情况说明；</w:t>
      </w:r>
    </w:p>
    <w:p>
      <w:pPr>
        <w:pStyle w:val="10"/>
        <w:kinsoku/>
        <w:wordWrap/>
        <w:overflowPunct/>
        <w:topLinePunct w:val="0"/>
        <w:bidi w:val="0"/>
        <w:spacing w:line="360" w:lineRule="auto"/>
        <w:ind w:firstLine="484" w:firstLineChars="202"/>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（5）信用信息查询记录；</w:t>
      </w:r>
    </w:p>
    <w:p>
      <w:pPr>
        <w:pStyle w:val="10"/>
        <w:kinsoku/>
        <w:wordWrap/>
        <w:overflowPunct/>
        <w:topLinePunct w:val="0"/>
        <w:bidi w:val="0"/>
        <w:spacing w:line="360" w:lineRule="auto"/>
        <w:ind w:firstLine="484" w:firstLineChars="202"/>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（6）磋商文件要求或供应商认为需提供的其它相关资格证明材料。</w:t>
      </w:r>
    </w:p>
    <w:p>
      <w:pPr>
        <w:pStyle w:val="10"/>
        <w:kinsoku/>
        <w:wordWrap/>
        <w:overflowPunct/>
        <w:topLinePunct w:val="0"/>
        <w:bidi w:val="0"/>
        <w:spacing w:line="360" w:lineRule="auto"/>
        <w:ind w:firstLine="281" w:firstLineChars="100"/>
        <w:rPr>
          <w:rFonts w:hint="eastAsia" w:ascii="宋体" w:hAnsi="宋体" w:eastAsia="宋体" w:cs="宋体"/>
          <w:color w:val="auto"/>
          <w:kern w:val="0"/>
          <w:sz w:val="28"/>
          <w:szCs w:val="28"/>
          <w:highlight w:val="none"/>
        </w:rPr>
      </w:pPr>
      <w:r>
        <w:rPr>
          <w:rFonts w:hint="eastAsia" w:ascii="宋体" w:hAnsi="宋体" w:eastAsia="宋体" w:cs="宋体"/>
          <w:b/>
          <w:color w:val="auto"/>
          <w:sz w:val="28"/>
          <w:szCs w:val="28"/>
          <w:highlight w:val="none"/>
        </w:rPr>
        <w:t>15</w:t>
      </w:r>
      <w:r>
        <w:rPr>
          <w:rFonts w:hint="eastAsia" w:ascii="宋体" w:hAnsi="宋体" w:cs="宋体"/>
          <w:b/>
          <w:color w:val="auto"/>
          <w:sz w:val="28"/>
          <w:szCs w:val="28"/>
          <w:highlight w:val="none"/>
          <w:lang w:eastAsia="zh-CN"/>
        </w:rPr>
        <w:t>、</w:t>
      </w:r>
      <w:r>
        <w:rPr>
          <w:rFonts w:hint="eastAsia" w:ascii="宋体" w:hAnsi="宋体" w:eastAsia="宋体" w:cs="宋体"/>
          <w:b/>
          <w:color w:val="auto"/>
          <w:sz w:val="28"/>
          <w:szCs w:val="28"/>
          <w:highlight w:val="none"/>
        </w:rPr>
        <w:t>证明磋商服务的合格性和符合磋商文件规定的文件。</w:t>
      </w:r>
    </w:p>
    <w:p>
      <w:pPr>
        <w:pStyle w:val="12"/>
        <w:kinsoku/>
        <w:wordWrap/>
        <w:overflowPunct/>
        <w:topLinePunct w:val="0"/>
        <w:bidi w:val="0"/>
        <w:spacing w:line="360" w:lineRule="auto"/>
        <w:ind w:firstLine="281" w:firstLineChars="100"/>
        <w:contextualSpacing/>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16</w:t>
      </w:r>
      <w:r>
        <w:rPr>
          <w:rFonts w:hint="eastAsia" w:hAnsi="宋体" w:cs="宋体"/>
          <w:b/>
          <w:color w:val="auto"/>
          <w:sz w:val="28"/>
          <w:szCs w:val="28"/>
          <w:highlight w:val="none"/>
          <w:lang w:eastAsia="zh-CN"/>
        </w:rPr>
        <w:t>、</w:t>
      </w:r>
      <w:r>
        <w:rPr>
          <w:rFonts w:hint="eastAsia" w:ascii="宋体" w:hAnsi="宋体" w:eastAsia="宋体" w:cs="宋体"/>
          <w:b/>
          <w:color w:val="auto"/>
          <w:sz w:val="28"/>
          <w:szCs w:val="28"/>
          <w:highlight w:val="none"/>
        </w:rPr>
        <w:t>磋商保证金</w:t>
      </w:r>
    </w:p>
    <w:p>
      <w:pPr>
        <w:pStyle w:val="10"/>
        <w:kinsoku/>
        <w:wordWrap/>
        <w:overflowPunct/>
        <w:topLinePunct w:val="0"/>
        <w:bidi w:val="0"/>
        <w:spacing w:line="360" w:lineRule="auto"/>
        <w:ind w:left="0" w:leftChars="0" w:firstLine="240" w:firstLineChars="100"/>
        <w:rPr>
          <w:rFonts w:hint="eastAsia" w:ascii="宋体" w:hAnsi="宋体" w:eastAsia="宋体" w:cs="宋体"/>
          <w:color w:val="auto"/>
          <w:kern w:val="0"/>
          <w:szCs w:val="24"/>
          <w:highlight w:val="none"/>
        </w:rPr>
      </w:pPr>
      <w:r>
        <w:rPr>
          <w:rFonts w:hint="eastAsia" w:ascii="宋体" w:hAnsi="宋体" w:eastAsia="宋体" w:cs="宋体"/>
          <w:color w:val="auto"/>
          <w:szCs w:val="24"/>
          <w:highlight w:val="none"/>
        </w:rPr>
        <w:t>16.1</w:t>
      </w:r>
      <w:r>
        <w:rPr>
          <w:rFonts w:hint="eastAsia" w:ascii="宋体" w:hAnsi="宋体" w:eastAsia="宋体" w:cs="宋体"/>
          <w:color w:val="auto"/>
          <w:sz w:val="24"/>
          <w:szCs w:val="24"/>
          <w:highlight w:val="none"/>
        </w:rPr>
        <w:t>本项目</w:t>
      </w:r>
      <w:r>
        <w:rPr>
          <w:rFonts w:hint="eastAsia" w:ascii="宋体" w:hAnsi="宋体" w:eastAsia="宋体" w:cs="宋体"/>
          <w:color w:val="auto"/>
          <w:sz w:val="24"/>
          <w:szCs w:val="24"/>
          <w:highlight w:val="none"/>
          <w:lang w:eastAsia="zh-CN"/>
        </w:rPr>
        <w:t>不</w:t>
      </w:r>
      <w:r>
        <w:rPr>
          <w:rFonts w:hint="eastAsia" w:ascii="宋体" w:hAnsi="宋体" w:eastAsia="宋体" w:cs="宋体"/>
          <w:color w:val="auto"/>
          <w:sz w:val="24"/>
          <w:szCs w:val="24"/>
          <w:highlight w:val="none"/>
        </w:rPr>
        <w:t>设置</w:t>
      </w:r>
      <w:r>
        <w:rPr>
          <w:rFonts w:hint="eastAsia" w:ascii="宋体" w:hAnsi="宋体" w:cs="宋体"/>
          <w:color w:val="auto"/>
          <w:sz w:val="24"/>
          <w:szCs w:val="24"/>
          <w:highlight w:val="none"/>
          <w:lang w:val="en-US" w:eastAsia="zh-CN"/>
        </w:rPr>
        <w:t>磋商</w:t>
      </w:r>
      <w:r>
        <w:rPr>
          <w:rFonts w:hint="eastAsia" w:ascii="宋体" w:hAnsi="宋体" w:eastAsia="宋体" w:cs="宋体"/>
          <w:color w:val="auto"/>
          <w:sz w:val="24"/>
          <w:szCs w:val="24"/>
          <w:highlight w:val="none"/>
        </w:rPr>
        <w:t>保证金。</w:t>
      </w:r>
    </w:p>
    <w:p>
      <w:pPr>
        <w:pStyle w:val="12"/>
        <w:kinsoku/>
        <w:wordWrap/>
        <w:overflowPunct/>
        <w:topLinePunct w:val="0"/>
        <w:bidi w:val="0"/>
        <w:spacing w:line="360" w:lineRule="auto"/>
        <w:ind w:firstLine="281" w:firstLineChars="100"/>
        <w:contextualSpacing/>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17</w:t>
      </w:r>
      <w:r>
        <w:rPr>
          <w:rFonts w:hint="eastAsia" w:hAnsi="宋体" w:cs="宋体"/>
          <w:b/>
          <w:color w:val="auto"/>
          <w:sz w:val="28"/>
          <w:szCs w:val="28"/>
          <w:highlight w:val="none"/>
          <w:lang w:eastAsia="zh-CN"/>
        </w:rPr>
        <w:t>、</w:t>
      </w:r>
      <w:r>
        <w:rPr>
          <w:rFonts w:hint="eastAsia" w:ascii="宋体" w:hAnsi="宋体" w:eastAsia="宋体" w:cs="宋体"/>
          <w:b/>
          <w:color w:val="auto"/>
          <w:sz w:val="28"/>
          <w:szCs w:val="28"/>
          <w:highlight w:val="none"/>
        </w:rPr>
        <w:t>磋商的有效期</w:t>
      </w:r>
    </w:p>
    <w:p>
      <w:pPr>
        <w:pStyle w:val="10"/>
        <w:kinsoku/>
        <w:wordWrap/>
        <w:overflowPunct/>
        <w:topLinePunct w:val="0"/>
        <w:bidi w:val="0"/>
        <w:spacing w:line="360" w:lineRule="auto"/>
        <w:ind w:firstLine="484" w:firstLineChars="202"/>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17.1磋商有效期详见</w:t>
      </w:r>
      <w:r>
        <w:rPr>
          <w:rFonts w:hint="eastAsia" w:ascii="宋体" w:hAnsi="宋体" w:eastAsia="宋体" w:cs="宋体"/>
          <w:color w:val="auto"/>
          <w:szCs w:val="24"/>
          <w:highlight w:val="none"/>
        </w:rPr>
        <w:t>供应商须知前附表</w:t>
      </w:r>
      <w:r>
        <w:rPr>
          <w:rFonts w:hint="eastAsia" w:ascii="宋体" w:hAnsi="宋体" w:eastAsia="宋体" w:cs="宋体"/>
          <w:color w:val="auto"/>
          <w:kern w:val="0"/>
          <w:szCs w:val="24"/>
          <w:highlight w:val="none"/>
        </w:rPr>
        <w:t>。供应商磋商有效期不足的磋商将被视为无效磋商。</w:t>
      </w:r>
    </w:p>
    <w:p>
      <w:pPr>
        <w:pStyle w:val="10"/>
        <w:kinsoku/>
        <w:wordWrap/>
        <w:overflowPunct/>
        <w:topLinePunct w:val="0"/>
        <w:bidi w:val="0"/>
        <w:spacing w:line="360" w:lineRule="auto"/>
        <w:ind w:firstLine="484" w:firstLineChars="202"/>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17.2特殊情况下，在原磋商有效期截止之前，采购单位可要求供应商延长磋商有效期。这种要求与答复均应以书面形式提交。供应商可拒绝采购单位的这种要求。</w:t>
      </w:r>
      <w:bookmarkStart w:id="58" w:name="_Toc459227608"/>
      <w:bookmarkStart w:id="59" w:name="_Toc459297215"/>
      <w:bookmarkStart w:id="60" w:name="_Toc459226625"/>
      <w:bookmarkStart w:id="61" w:name="_Toc459223849"/>
      <w:bookmarkStart w:id="62" w:name="_Toc459227375"/>
    </w:p>
    <w:p>
      <w:pPr>
        <w:pStyle w:val="9"/>
        <w:kinsoku/>
        <w:wordWrap/>
        <w:overflowPunct/>
        <w:topLinePunct w:val="0"/>
        <w:bidi w:val="0"/>
        <w:spacing w:line="360" w:lineRule="auto"/>
        <w:jc w:val="center"/>
        <w:rPr>
          <w:rFonts w:hint="eastAsia" w:ascii="宋体" w:hAnsi="宋体" w:eastAsia="宋体" w:cs="宋体"/>
          <w:color w:val="auto"/>
          <w:highlight w:val="none"/>
        </w:rPr>
      </w:pPr>
      <w:bookmarkStart w:id="63" w:name="_Toc6120"/>
      <w:bookmarkStart w:id="64" w:name="_Toc20662"/>
      <w:bookmarkStart w:id="65" w:name="_Toc770"/>
      <w:r>
        <w:rPr>
          <w:rFonts w:hint="eastAsia" w:ascii="宋体" w:hAnsi="宋体" w:eastAsia="宋体" w:cs="宋体"/>
          <w:color w:val="auto"/>
          <w:highlight w:val="none"/>
        </w:rPr>
        <w:t>四、</w:t>
      </w:r>
      <w:bookmarkEnd w:id="58"/>
      <w:bookmarkEnd w:id="59"/>
      <w:bookmarkEnd w:id="60"/>
      <w:bookmarkEnd w:id="61"/>
      <w:bookmarkEnd w:id="62"/>
      <w:r>
        <w:rPr>
          <w:rFonts w:hint="eastAsia" w:ascii="宋体" w:hAnsi="宋体" w:eastAsia="宋体" w:cs="宋体"/>
          <w:color w:val="auto"/>
          <w:highlight w:val="none"/>
        </w:rPr>
        <w:t>响应文件的份数、装订和递交</w:t>
      </w:r>
      <w:bookmarkEnd w:id="63"/>
      <w:bookmarkEnd w:id="64"/>
      <w:bookmarkEnd w:id="65"/>
    </w:p>
    <w:p>
      <w:pPr>
        <w:pStyle w:val="12"/>
        <w:kinsoku/>
        <w:wordWrap/>
        <w:overflowPunct/>
        <w:topLinePunct w:val="0"/>
        <w:bidi w:val="0"/>
        <w:spacing w:line="360" w:lineRule="auto"/>
        <w:ind w:firstLine="281" w:firstLineChars="100"/>
        <w:contextualSpacing/>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18</w:t>
      </w:r>
      <w:bookmarkStart w:id="66" w:name="_Toc14577361"/>
      <w:bookmarkStart w:id="67" w:name="_Toc49090512"/>
      <w:r>
        <w:rPr>
          <w:rFonts w:hint="eastAsia" w:hAnsi="宋体" w:cs="宋体"/>
          <w:b/>
          <w:color w:val="auto"/>
          <w:sz w:val="28"/>
          <w:szCs w:val="28"/>
          <w:highlight w:val="none"/>
          <w:lang w:eastAsia="zh-CN"/>
        </w:rPr>
        <w:t>、</w:t>
      </w:r>
      <w:r>
        <w:rPr>
          <w:rFonts w:hint="eastAsia" w:ascii="宋体" w:hAnsi="宋体" w:eastAsia="宋体" w:cs="宋体"/>
          <w:b/>
          <w:color w:val="auto"/>
          <w:sz w:val="28"/>
          <w:szCs w:val="28"/>
          <w:highlight w:val="none"/>
        </w:rPr>
        <w:t>响应文件份数和签署</w:t>
      </w:r>
      <w:bookmarkEnd w:id="66"/>
      <w:bookmarkEnd w:id="67"/>
    </w:p>
    <w:p>
      <w:pPr>
        <w:pStyle w:val="10"/>
        <w:kinsoku/>
        <w:wordWrap/>
        <w:overflowPunct/>
        <w:topLinePunct w:val="0"/>
        <w:bidi w:val="0"/>
        <w:spacing w:line="360" w:lineRule="auto"/>
        <w:ind w:firstLine="484" w:firstLineChars="202"/>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18.1供应商应当编制响应文件正本壹份，副本壹份，电子版U盘壹份。须在响应文件封面上清楚地标明“正本”或“副本”字样。一旦正本和副本不符，以正本为准。</w:t>
      </w:r>
    </w:p>
    <w:p>
      <w:pPr>
        <w:kinsoku/>
        <w:overflowPunct/>
        <w:topLinePunct w:val="0"/>
        <w:autoSpaceDE/>
        <w:autoSpaceDN/>
        <w:bidi w:val="0"/>
        <w:adjustRightInd/>
        <w:snapToGrid w:val="0"/>
        <w:spacing w:line="360" w:lineRule="auto"/>
        <w:ind w:firstLine="56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18.2响应文件的正本和所有的副本均需打印或复印，正本由供应商法定代表人或其授权代表签字。</w:t>
      </w:r>
      <w:r>
        <w:rPr>
          <w:rFonts w:hint="eastAsia" w:ascii="宋体" w:hAnsi="宋体" w:eastAsia="宋体" w:cs="宋体"/>
          <w:b/>
          <w:color w:val="auto"/>
          <w:sz w:val="24"/>
          <w:szCs w:val="18"/>
          <w:highlight w:val="none"/>
        </w:rPr>
        <w:t>授权代表须将 “法人授权书”（原件）附在响应文件中（开标现场提供一份）。</w:t>
      </w:r>
    </w:p>
    <w:p>
      <w:pPr>
        <w:pStyle w:val="10"/>
        <w:kinsoku/>
        <w:wordWrap/>
        <w:overflowPunct/>
        <w:topLinePunct w:val="0"/>
        <w:bidi w:val="0"/>
        <w:spacing w:line="360" w:lineRule="auto"/>
        <w:ind w:firstLine="484" w:firstLineChars="202"/>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18.3除供应商在磋商工作对磋商文件表达不清处做必要修改外，响应文件不得行间插字、涂改或增删。如有修改错漏处，必须由响应文件签署人签字或盖章，否则视为无效磋商。</w:t>
      </w:r>
    </w:p>
    <w:p>
      <w:pPr>
        <w:pStyle w:val="12"/>
        <w:kinsoku/>
        <w:wordWrap/>
        <w:overflowPunct/>
        <w:topLinePunct w:val="0"/>
        <w:bidi w:val="0"/>
        <w:spacing w:line="360" w:lineRule="auto"/>
        <w:ind w:firstLine="281" w:firstLineChars="100"/>
        <w:contextualSpacing/>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19</w:t>
      </w:r>
      <w:r>
        <w:rPr>
          <w:rFonts w:hint="eastAsia" w:hAnsi="宋体" w:cs="宋体"/>
          <w:b/>
          <w:color w:val="auto"/>
          <w:sz w:val="28"/>
          <w:szCs w:val="28"/>
          <w:highlight w:val="none"/>
          <w:lang w:eastAsia="zh-CN"/>
        </w:rPr>
        <w:t>、</w:t>
      </w:r>
      <w:r>
        <w:rPr>
          <w:rFonts w:hint="eastAsia" w:ascii="宋体" w:hAnsi="宋体" w:eastAsia="宋体" w:cs="宋体"/>
          <w:b/>
          <w:color w:val="auto"/>
          <w:sz w:val="28"/>
          <w:szCs w:val="28"/>
          <w:highlight w:val="none"/>
        </w:rPr>
        <w:t>响应文件的密封和标记、递交</w:t>
      </w:r>
    </w:p>
    <w:p>
      <w:pPr>
        <w:kinsoku/>
        <w:overflowPunct/>
        <w:topLinePunct w:val="0"/>
        <w:autoSpaceDE/>
        <w:autoSpaceDN/>
        <w:bidi w:val="0"/>
        <w:adjustRightInd/>
        <w:snapToGrid w:val="0"/>
        <w:spacing w:line="360" w:lineRule="auto"/>
        <w:ind w:firstLine="560"/>
        <w:rPr>
          <w:rFonts w:hint="eastAsia" w:ascii="宋体" w:hAnsi="宋体" w:eastAsia="宋体" w:cs="宋体"/>
          <w:b/>
          <w:bCs/>
          <w:color w:val="auto"/>
          <w:kern w:val="0"/>
          <w:szCs w:val="24"/>
          <w:highlight w:val="none"/>
        </w:rPr>
      </w:pPr>
      <w:r>
        <w:rPr>
          <w:rFonts w:hint="eastAsia" w:ascii="宋体" w:hAnsi="宋体" w:eastAsia="宋体" w:cs="宋体"/>
          <w:color w:val="auto"/>
          <w:kern w:val="0"/>
          <w:szCs w:val="24"/>
          <w:highlight w:val="none"/>
        </w:rPr>
        <w:t>19.1供应商应将响应文件正本、副本和电子响应文件U盘密封</w:t>
      </w:r>
      <w:r>
        <w:rPr>
          <w:rFonts w:hint="eastAsia" w:ascii="宋体" w:hAnsi="宋体" w:eastAsia="宋体" w:cs="宋体"/>
          <w:color w:val="auto"/>
          <w:sz w:val="24"/>
          <w:szCs w:val="18"/>
          <w:highlight w:val="none"/>
        </w:rPr>
        <w:t>在一个包内，</w:t>
      </w:r>
      <w:r>
        <w:rPr>
          <w:rFonts w:hint="eastAsia" w:ascii="宋体" w:hAnsi="宋体" w:eastAsia="宋体" w:cs="宋体"/>
          <w:color w:val="auto"/>
          <w:kern w:val="0"/>
          <w:sz w:val="24"/>
          <w:szCs w:val="24"/>
          <w:highlight w:val="none"/>
          <w:lang w:val="en-US" w:eastAsia="zh-CN" w:bidi="ar-SA"/>
        </w:rPr>
        <w:t>并在包封上</w:t>
      </w:r>
      <w:r>
        <w:rPr>
          <w:rFonts w:hint="eastAsia" w:ascii="宋体" w:hAnsi="宋体" w:eastAsia="宋体" w:cs="宋体"/>
          <w:color w:val="auto"/>
          <w:sz w:val="24"/>
          <w:szCs w:val="18"/>
          <w:highlight w:val="none"/>
        </w:rPr>
        <w:t>加盖单位公章</w:t>
      </w:r>
      <w:r>
        <w:rPr>
          <w:rFonts w:hint="eastAsia" w:ascii="宋体" w:hAnsi="宋体" w:eastAsia="宋体" w:cs="宋体"/>
          <w:color w:val="auto"/>
          <w:sz w:val="24"/>
          <w:szCs w:val="18"/>
          <w:highlight w:val="none"/>
          <w:lang w:eastAsia="zh-CN"/>
        </w:rPr>
        <w:t>和法人印章</w:t>
      </w:r>
      <w:r>
        <w:rPr>
          <w:rFonts w:hint="eastAsia" w:ascii="宋体" w:hAnsi="宋体" w:eastAsia="宋体" w:cs="宋体"/>
          <w:color w:val="auto"/>
          <w:kern w:val="0"/>
          <w:szCs w:val="24"/>
          <w:highlight w:val="none"/>
        </w:rPr>
        <w:t>。在磋商文件规定的截止时间前递交的磋商响应文件，</w:t>
      </w:r>
      <w:r>
        <w:rPr>
          <w:rFonts w:hint="eastAsia" w:ascii="宋体" w:hAnsi="宋体" w:eastAsia="宋体" w:cs="宋体"/>
          <w:color w:val="auto"/>
          <w:sz w:val="24"/>
          <w:szCs w:val="18"/>
          <w:highlight w:val="none"/>
        </w:rPr>
        <w:t>未按照</w:t>
      </w:r>
      <w:r>
        <w:rPr>
          <w:rFonts w:hint="eastAsia" w:ascii="宋体" w:hAnsi="宋体" w:eastAsia="宋体" w:cs="宋体"/>
          <w:color w:val="auto"/>
          <w:sz w:val="24"/>
          <w:szCs w:val="18"/>
          <w:highlight w:val="none"/>
          <w:lang w:eastAsia="zh-CN"/>
        </w:rPr>
        <w:t>磋商</w:t>
      </w:r>
      <w:r>
        <w:rPr>
          <w:rFonts w:hint="eastAsia" w:ascii="宋体" w:hAnsi="宋体" w:eastAsia="宋体" w:cs="宋体"/>
          <w:color w:val="auto"/>
          <w:sz w:val="24"/>
          <w:szCs w:val="18"/>
          <w:highlight w:val="none"/>
        </w:rPr>
        <w:t>文件规定要求密封、签署、盖章的</w:t>
      </w:r>
      <w:r>
        <w:rPr>
          <w:rFonts w:hint="eastAsia" w:ascii="宋体" w:hAnsi="宋体" w:eastAsia="宋体" w:cs="宋体"/>
          <w:color w:val="auto"/>
          <w:sz w:val="24"/>
          <w:szCs w:val="18"/>
          <w:highlight w:val="none"/>
          <w:lang w:eastAsia="zh-CN"/>
        </w:rPr>
        <w:t>，采购人或采购代理机构将拒绝接收，</w:t>
      </w:r>
      <w:r>
        <w:rPr>
          <w:rFonts w:hint="eastAsia" w:ascii="宋体" w:hAnsi="宋体" w:eastAsia="宋体" w:cs="宋体"/>
          <w:color w:val="auto"/>
          <w:sz w:val="24"/>
          <w:szCs w:val="18"/>
          <w:highlight w:val="none"/>
        </w:rPr>
        <w:t>不论供应商成交与否，响应文件均不退回</w:t>
      </w:r>
      <w:r>
        <w:rPr>
          <w:rFonts w:hint="eastAsia" w:ascii="宋体" w:hAnsi="宋体" w:eastAsia="宋体" w:cs="宋体"/>
          <w:color w:val="auto"/>
          <w:kern w:val="0"/>
          <w:szCs w:val="24"/>
          <w:highlight w:val="none"/>
        </w:rPr>
        <w:t>。</w:t>
      </w:r>
    </w:p>
    <w:p>
      <w:pPr>
        <w:pStyle w:val="12"/>
        <w:kinsoku/>
        <w:wordWrap/>
        <w:overflowPunct/>
        <w:topLinePunct w:val="0"/>
        <w:bidi w:val="0"/>
        <w:spacing w:line="360" w:lineRule="auto"/>
        <w:ind w:firstLine="482" w:firstLineChars="201"/>
        <w:contextualSpacing/>
        <w:rPr>
          <w:rFonts w:hint="eastAsia" w:ascii="宋体" w:hAnsi="宋体" w:eastAsia="宋体" w:cs="宋体"/>
          <w:color w:val="auto"/>
          <w:kern w:val="0"/>
          <w:sz w:val="28"/>
          <w:szCs w:val="28"/>
          <w:highlight w:val="none"/>
        </w:rPr>
      </w:pPr>
      <w:r>
        <w:rPr>
          <w:rFonts w:hint="eastAsia" w:ascii="宋体" w:hAnsi="宋体" w:eastAsia="宋体" w:cs="宋体"/>
          <w:color w:val="auto"/>
          <w:kern w:val="0"/>
          <w:szCs w:val="24"/>
          <w:highlight w:val="none"/>
        </w:rPr>
        <w:t>19.2密封的响应文件应注意：</w:t>
      </w:r>
      <w:r>
        <w:rPr>
          <w:rFonts w:hint="eastAsia" w:ascii="宋体" w:hAnsi="宋体" w:eastAsia="宋体" w:cs="宋体"/>
          <w:color w:val="auto"/>
          <w:kern w:val="0"/>
          <w:sz w:val="28"/>
          <w:szCs w:val="28"/>
          <w:highlight w:val="none"/>
        </w:rPr>
        <w:t xml:space="preserve"> </w:t>
      </w:r>
    </w:p>
    <w:p>
      <w:pPr>
        <w:pStyle w:val="12"/>
        <w:kinsoku/>
        <w:wordWrap/>
        <w:overflowPunct/>
        <w:topLinePunct w:val="0"/>
        <w:bidi w:val="0"/>
        <w:spacing w:line="360" w:lineRule="auto"/>
        <w:ind w:firstLine="482" w:firstLineChars="201"/>
        <w:contextualSpacing/>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（1）注明供应商名称，并按竞争性磋商公告中注明的地址送达；</w:t>
      </w:r>
    </w:p>
    <w:p>
      <w:pPr>
        <w:pStyle w:val="12"/>
        <w:kinsoku/>
        <w:wordWrap/>
        <w:overflowPunct/>
        <w:topLinePunct w:val="0"/>
        <w:bidi w:val="0"/>
        <w:spacing w:line="360" w:lineRule="auto"/>
        <w:ind w:firstLine="482" w:firstLineChars="201"/>
        <w:contextualSpacing/>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（2）注明磋商项目名称、项目编号及“</w:t>
      </w:r>
      <w:r>
        <w:rPr>
          <w:rFonts w:hint="eastAsia" w:ascii="宋体" w:hAnsi="宋体" w:eastAsia="宋体" w:cs="宋体"/>
          <w:color w:val="auto"/>
          <w:sz w:val="24"/>
          <w:szCs w:val="18"/>
          <w:highlight w:val="none"/>
        </w:rPr>
        <w:t>在（响应文件提交截止时间）之前不得启封</w:t>
      </w:r>
      <w:r>
        <w:rPr>
          <w:rFonts w:hint="eastAsia" w:ascii="宋体" w:hAnsi="宋体" w:eastAsia="宋体" w:cs="宋体"/>
          <w:color w:val="auto"/>
          <w:kern w:val="0"/>
          <w:szCs w:val="24"/>
          <w:highlight w:val="none"/>
        </w:rPr>
        <w:t>”的字样；</w:t>
      </w:r>
    </w:p>
    <w:p>
      <w:pPr>
        <w:pStyle w:val="12"/>
        <w:kinsoku/>
        <w:wordWrap/>
        <w:overflowPunct/>
        <w:topLinePunct w:val="0"/>
        <w:bidi w:val="0"/>
        <w:spacing w:line="360" w:lineRule="auto"/>
        <w:ind w:firstLine="482" w:firstLineChars="201"/>
        <w:contextualSpacing/>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（3）如因标注不清而产生的后果由供应商自负。</w:t>
      </w:r>
    </w:p>
    <w:p>
      <w:pPr>
        <w:pStyle w:val="12"/>
        <w:kinsoku/>
        <w:wordWrap/>
        <w:overflowPunct/>
        <w:topLinePunct w:val="0"/>
        <w:bidi w:val="0"/>
        <w:spacing w:line="360" w:lineRule="auto"/>
        <w:ind w:firstLine="482" w:firstLineChars="201"/>
        <w:contextualSpacing/>
        <w:rPr>
          <w:rFonts w:hint="eastAsia" w:ascii="宋体" w:hAnsi="宋体" w:eastAsia="宋体" w:cs="宋体"/>
          <w:color w:val="auto"/>
          <w:kern w:val="0"/>
          <w:sz w:val="28"/>
          <w:szCs w:val="28"/>
          <w:highlight w:val="none"/>
        </w:rPr>
      </w:pPr>
      <w:r>
        <w:rPr>
          <w:rFonts w:hint="eastAsia" w:ascii="宋体" w:hAnsi="宋体" w:eastAsia="宋体" w:cs="宋体"/>
          <w:color w:val="auto"/>
          <w:kern w:val="0"/>
          <w:szCs w:val="24"/>
          <w:highlight w:val="none"/>
        </w:rPr>
        <w:t>19.3要求密封和加写标记，采购单位对误投或过早启封概不负责。对由此造成提前开封的响应文件，采购单位将予以拒绝</w:t>
      </w:r>
      <w:r>
        <w:rPr>
          <w:rFonts w:hint="eastAsia" w:ascii="宋体" w:hAnsi="宋体" w:eastAsia="宋体" w:cs="宋体"/>
          <w:color w:val="auto"/>
          <w:kern w:val="0"/>
          <w:sz w:val="28"/>
          <w:szCs w:val="28"/>
          <w:highlight w:val="none"/>
        </w:rPr>
        <w:t>。</w:t>
      </w:r>
    </w:p>
    <w:p>
      <w:pPr>
        <w:pStyle w:val="12"/>
        <w:kinsoku/>
        <w:wordWrap/>
        <w:overflowPunct/>
        <w:topLinePunct w:val="0"/>
        <w:bidi w:val="0"/>
        <w:spacing w:line="360" w:lineRule="auto"/>
        <w:ind w:firstLine="281" w:firstLineChars="100"/>
        <w:contextualSpacing/>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20</w:t>
      </w:r>
      <w:r>
        <w:rPr>
          <w:rFonts w:hint="eastAsia" w:hAnsi="宋体" w:cs="宋体"/>
          <w:b/>
          <w:color w:val="auto"/>
          <w:sz w:val="28"/>
          <w:szCs w:val="28"/>
          <w:highlight w:val="none"/>
          <w:lang w:eastAsia="zh-CN"/>
        </w:rPr>
        <w:t>、</w:t>
      </w:r>
      <w:r>
        <w:rPr>
          <w:rFonts w:hint="eastAsia" w:ascii="宋体" w:hAnsi="宋体" w:eastAsia="宋体" w:cs="宋体"/>
          <w:b/>
          <w:color w:val="auto"/>
          <w:sz w:val="28"/>
          <w:szCs w:val="28"/>
          <w:highlight w:val="none"/>
        </w:rPr>
        <w:t>迟交的响应文件</w:t>
      </w:r>
    </w:p>
    <w:p>
      <w:pPr>
        <w:pStyle w:val="10"/>
        <w:kinsoku/>
        <w:wordWrap/>
        <w:overflowPunct/>
        <w:topLinePunct w:val="0"/>
        <w:bidi w:val="0"/>
        <w:spacing w:line="360" w:lineRule="auto"/>
        <w:ind w:firstLine="484" w:firstLineChars="202"/>
        <w:rPr>
          <w:rFonts w:hint="eastAsia" w:ascii="宋体" w:hAnsi="宋体" w:eastAsia="宋体" w:cs="宋体"/>
          <w:color w:val="auto"/>
          <w:kern w:val="0"/>
          <w:sz w:val="28"/>
          <w:szCs w:val="28"/>
          <w:highlight w:val="none"/>
        </w:rPr>
      </w:pPr>
      <w:r>
        <w:rPr>
          <w:rFonts w:hint="eastAsia" w:ascii="宋体" w:hAnsi="宋体" w:eastAsia="宋体" w:cs="宋体"/>
          <w:color w:val="auto"/>
          <w:kern w:val="0"/>
          <w:szCs w:val="24"/>
          <w:highlight w:val="none"/>
        </w:rPr>
        <w:t>20.1</w:t>
      </w:r>
      <w:r>
        <w:rPr>
          <w:rFonts w:hint="eastAsia" w:ascii="宋体" w:hAnsi="宋体" w:eastAsia="宋体" w:cs="宋体"/>
          <w:color w:val="auto"/>
          <w:szCs w:val="24"/>
          <w:highlight w:val="none"/>
        </w:rPr>
        <w:t>采购单位</w:t>
      </w:r>
      <w:r>
        <w:rPr>
          <w:rFonts w:hint="eastAsia" w:ascii="宋体" w:hAnsi="宋体" w:eastAsia="宋体" w:cs="宋体"/>
          <w:color w:val="auto"/>
          <w:kern w:val="0"/>
          <w:szCs w:val="24"/>
          <w:highlight w:val="none"/>
        </w:rPr>
        <w:t>将拒绝并原封退回在规定的截止期后收到的任何响应文件。</w:t>
      </w:r>
    </w:p>
    <w:p>
      <w:pPr>
        <w:pStyle w:val="12"/>
        <w:kinsoku/>
        <w:wordWrap/>
        <w:overflowPunct/>
        <w:topLinePunct w:val="0"/>
        <w:bidi w:val="0"/>
        <w:spacing w:line="360" w:lineRule="auto"/>
        <w:ind w:firstLine="281" w:firstLineChars="100"/>
        <w:contextualSpacing/>
        <w:rPr>
          <w:rFonts w:hint="eastAsia" w:ascii="宋体" w:hAnsi="宋体" w:eastAsia="宋体" w:cs="宋体"/>
          <w:color w:val="auto"/>
          <w:kern w:val="0"/>
          <w:highlight w:val="none"/>
        </w:rPr>
      </w:pPr>
      <w:r>
        <w:rPr>
          <w:rFonts w:hint="eastAsia" w:ascii="宋体" w:hAnsi="宋体" w:eastAsia="宋体" w:cs="宋体"/>
          <w:b/>
          <w:color w:val="auto"/>
          <w:sz w:val="28"/>
          <w:szCs w:val="28"/>
          <w:highlight w:val="none"/>
        </w:rPr>
        <w:t>21</w:t>
      </w:r>
      <w:r>
        <w:rPr>
          <w:rFonts w:hint="eastAsia" w:hAnsi="宋体" w:cs="宋体"/>
          <w:b/>
          <w:color w:val="auto"/>
          <w:sz w:val="28"/>
          <w:szCs w:val="28"/>
          <w:highlight w:val="none"/>
          <w:lang w:eastAsia="zh-CN"/>
        </w:rPr>
        <w:t>、</w:t>
      </w:r>
      <w:r>
        <w:rPr>
          <w:rFonts w:hint="eastAsia" w:ascii="宋体" w:hAnsi="宋体" w:eastAsia="宋体" w:cs="宋体"/>
          <w:b/>
          <w:color w:val="auto"/>
          <w:sz w:val="28"/>
          <w:szCs w:val="28"/>
          <w:highlight w:val="none"/>
        </w:rPr>
        <w:t>响应文件的修改和撤回</w:t>
      </w:r>
      <w:r>
        <w:rPr>
          <w:rFonts w:hint="eastAsia" w:ascii="宋体" w:hAnsi="宋体" w:eastAsia="宋体" w:cs="宋体"/>
          <w:color w:val="auto"/>
          <w:kern w:val="0"/>
          <w:highlight w:val="none"/>
        </w:rPr>
        <w:t xml:space="preserve"> </w:t>
      </w:r>
    </w:p>
    <w:p>
      <w:pPr>
        <w:pStyle w:val="10"/>
        <w:kinsoku/>
        <w:wordWrap/>
        <w:overflowPunct/>
        <w:topLinePunct w:val="0"/>
        <w:bidi w:val="0"/>
        <w:spacing w:line="360" w:lineRule="auto"/>
        <w:ind w:firstLine="484" w:firstLineChars="202"/>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21.1供应商在提交响应文件截止时间前，可以对所提交的响应文件进行补充、修改或者撤回，并书面通知采购人或采购代理机构。补充、修改的内容作为响应文件的组成部分。补充、修改的内容与响应文件不一致的，以补充、修改的内容为准。</w:t>
      </w:r>
    </w:p>
    <w:p>
      <w:pPr>
        <w:pStyle w:val="10"/>
        <w:kinsoku/>
        <w:wordWrap/>
        <w:overflowPunct/>
        <w:topLinePunct w:val="0"/>
        <w:bidi w:val="0"/>
        <w:spacing w:line="360" w:lineRule="auto"/>
        <w:ind w:firstLine="484" w:firstLineChars="202"/>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21.2 供应商所提交的响应文件在磋商结束后，无论成交与否都不退还。</w:t>
      </w:r>
    </w:p>
    <w:p>
      <w:pPr>
        <w:pStyle w:val="12"/>
        <w:jc w:val="center"/>
        <w:rPr>
          <w:rFonts w:hint="eastAsia" w:hAnsi="宋体" w:cs="宋体"/>
          <w:b/>
          <w:color w:val="auto"/>
          <w:sz w:val="28"/>
          <w:szCs w:val="28"/>
          <w:highlight w:val="none"/>
        </w:rPr>
      </w:pPr>
      <w:bookmarkStart w:id="68" w:name="_Toc293736057"/>
      <w:bookmarkStart w:id="69" w:name="_Toc293736014"/>
      <w:bookmarkStart w:id="70" w:name="_Toc446599314"/>
      <w:bookmarkStart w:id="71" w:name="_Toc293738995"/>
      <w:bookmarkStart w:id="72" w:name="_Toc17377600"/>
      <w:bookmarkStart w:id="73" w:name="_Toc459297223"/>
      <w:bookmarkStart w:id="74" w:name="_Toc459223857"/>
      <w:bookmarkStart w:id="75" w:name="_Toc459227383"/>
      <w:bookmarkStart w:id="76" w:name="_Toc459226633"/>
      <w:bookmarkStart w:id="77" w:name="_Toc14128"/>
      <w:bookmarkStart w:id="78" w:name="_Toc459227616"/>
    </w:p>
    <w:p>
      <w:pPr>
        <w:pStyle w:val="12"/>
        <w:jc w:val="center"/>
        <w:rPr>
          <w:rFonts w:hint="eastAsia" w:hAnsi="宋体" w:cs="宋体"/>
          <w:b/>
          <w:color w:val="auto"/>
          <w:sz w:val="28"/>
          <w:szCs w:val="28"/>
          <w:highlight w:val="none"/>
        </w:rPr>
      </w:pPr>
    </w:p>
    <w:p>
      <w:pPr>
        <w:pStyle w:val="12"/>
        <w:jc w:val="center"/>
        <w:rPr>
          <w:rFonts w:hint="eastAsia" w:hAnsi="宋体" w:cs="宋体"/>
          <w:b/>
          <w:color w:val="auto"/>
          <w:sz w:val="28"/>
          <w:szCs w:val="28"/>
          <w:highlight w:val="none"/>
        </w:rPr>
      </w:pPr>
    </w:p>
    <w:p>
      <w:pPr>
        <w:pStyle w:val="12"/>
        <w:jc w:val="center"/>
        <w:rPr>
          <w:rFonts w:hint="eastAsia" w:hAnsi="宋体" w:cs="宋体"/>
          <w:b/>
          <w:color w:val="auto"/>
          <w:sz w:val="28"/>
          <w:szCs w:val="28"/>
          <w:highlight w:val="none"/>
        </w:rPr>
      </w:pPr>
    </w:p>
    <w:p>
      <w:pPr>
        <w:pStyle w:val="12"/>
        <w:jc w:val="center"/>
        <w:rPr>
          <w:rFonts w:hint="eastAsia" w:hAnsi="宋体" w:cs="宋体"/>
          <w:b/>
          <w:color w:val="auto"/>
          <w:sz w:val="28"/>
          <w:szCs w:val="28"/>
          <w:highlight w:val="none"/>
        </w:rPr>
      </w:pPr>
    </w:p>
    <w:p>
      <w:pPr>
        <w:pStyle w:val="12"/>
        <w:jc w:val="center"/>
        <w:rPr>
          <w:rFonts w:hint="eastAsia" w:hAnsi="宋体" w:cs="宋体"/>
          <w:b/>
          <w:color w:val="auto"/>
          <w:sz w:val="28"/>
          <w:szCs w:val="28"/>
          <w:highlight w:val="none"/>
        </w:rPr>
      </w:pPr>
      <w:r>
        <w:rPr>
          <w:rFonts w:hint="eastAsia" w:hAnsi="宋体" w:cs="宋体"/>
          <w:b/>
          <w:color w:val="auto"/>
          <w:sz w:val="28"/>
          <w:szCs w:val="28"/>
          <w:highlight w:val="none"/>
        </w:rPr>
        <w:t>五、</w:t>
      </w:r>
      <w:bookmarkEnd w:id="68"/>
      <w:bookmarkEnd w:id="69"/>
      <w:bookmarkEnd w:id="70"/>
      <w:bookmarkEnd w:id="71"/>
      <w:r>
        <w:rPr>
          <w:rFonts w:hint="eastAsia" w:hAnsi="宋体" w:cs="宋体"/>
          <w:b/>
          <w:color w:val="auto"/>
          <w:sz w:val="28"/>
          <w:szCs w:val="28"/>
          <w:highlight w:val="none"/>
        </w:rPr>
        <w:t>竞争性磋商程序</w:t>
      </w:r>
      <w:bookmarkEnd w:id="72"/>
    </w:p>
    <w:p>
      <w:pPr>
        <w:keepNext w:val="0"/>
        <w:keepLines w:val="0"/>
        <w:pageBreakBefore w:val="0"/>
        <w:widowControl/>
        <w:kinsoku/>
        <w:wordWrap/>
        <w:overflowPunct/>
        <w:topLinePunct w:val="0"/>
        <w:autoSpaceDE/>
        <w:autoSpaceDN/>
        <w:bidi w:val="0"/>
        <w:adjustRightInd/>
        <w:snapToGrid w:val="0"/>
        <w:spacing w:line="440" w:lineRule="exact"/>
        <w:ind w:firstLine="420"/>
        <w:textAlignment w:val="baseline"/>
        <w:rPr>
          <w:rFonts w:hint="eastAsia" w:ascii="宋体" w:hAnsi="宋体" w:cs="宋体"/>
          <w:b/>
          <w:color w:val="auto"/>
          <w:sz w:val="24"/>
          <w:szCs w:val="24"/>
          <w:highlight w:val="none"/>
        </w:rPr>
      </w:pPr>
      <w:r>
        <w:rPr>
          <w:rFonts w:hint="eastAsia" w:ascii="宋体" w:hAnsi="宋体" w:eastAsia="宋体" w:cs="宋体"/>
          <w:b/>
          <w:color w:val="auto"/>
          <w:kern w:val="2"/>
          <w:sz w:val="28"/>
          <w:szCs w:val="28"/>
          <w:highlight w:val="none"/>
          <w:lang w:val="en-US" w:eastAsia="zh-CN" w:bidi="ar-SA"/>
        </w:rPr>
        <w:t>22</w:t>
      </w:r>
      <w:r>
        <w:rPr>
          <w:rFonts w:hint="eastAsia" w:ascii="宋体" w:hAnsi="宋体" w:cs="宋体"/>
          <w:b/>
          <w:color w:val="auto"/>
          <w:kern w:val="2"/>
          <w:sz w:val="28"/>
          <w:szCs w:val="28"/>
          <w:highlight w:val="none"/>
          <w:lang w:val="en-US" w:eastAsia="zh-CN" w:bidi="ar-SA"/>
        </w:rPr>
        <w:t>、</w:t>
      </w:r>
      <w:r>
        <w:rPr>
          <w:rFonts w:hint="eastAsia" w:ascii="宋体" w:hAnsi="宋体" w:eastAsia="宋体" w:cs="宋体"/>
          <w:b/>
          <w:color w:val="auto"/>
          <w:kern w:val="2"/>
          <w:sz w:val="28"/>
          <w:szCs w:val="28"/>
          <w:highlight w:val="none"/>
          <w:lang w:val="en-US" w:eastAsia="zh-CN" w:bidi="ar-SA"/>
        </w:rPr>
        <w:t>磋商小组的组成</w:t>
      </w:r>
    </w:p>
    <w:p>
      <w:pPr>
        <w:keepNext w:val="0"/>
        <w:keepLines w:val="0"/>
        <w:pageBreakBefore w:val="0"/>
        <w:widowControl/>
        <w:kinsoku/>
        <w:wordWrap/>
        <w:overflowPunct/>
        <w:topLinePunct w:val="0"/>
        <w:autoSpaceDE/>
        <w:autoSpaceDN/>
        <w:bidi w:val="0"/>
        <w:adjustRightInd/>
        <w:snapToGrid w:val="0"/>
        <w:spacing w:line="440" w:lineRule="exact"/>
        <w:ind w:firstLine="420"/>
        <w:textAlignment w:val="baseline"/>
        <w:rPr>
          <w:rFonts w:hint="eastAsia" w:ascii="宋体" w:hAnsi="宋体" w:eastAsia="宋体" w:cs="宋体"/>
          <w:color w:val="auto"/>
          <w:kern w:val="0"/>
          <w:sz w:val="24"/>
          <w:szCs w:val="24"/>
          <w:highlight w:val="none"/>
          <w:lang w:val="en-US" w:eastAsia="zh-CN" w:bidi="ar-SA"/>
        </w:rPr>
      </w:pPr>
      <w:bookmarkStart w:id="79" w:name="EB947e361d132545e5aa6dd658788b5a57"/>
      <w:r>
        <w:rPr>
          <w:rFonts w:hint="eastAsia" w:ascii="宋体" w:hAnsi="宋体" w:eastAsia="宋体" w:cs="宋体"/>
          <w:color w:val="auto"/>
          <w:kern w:val="0"/>
          <w:sz w:val="24"/>
          <w:szCs w:val="24"/>
          <w:highlight w:val="none"/>
          <w:lang w:val="en-US" w:eastAsia="zh-CN" w:bidi="ar-SA"/>
        </w:rPr>
        <w:t>22.1</w:t>
      </w:r>
      <w:bookmarkEnd w:id="79"/>
      <w:r>
        <w:rPr>
          <w:rFonts w:hint="eastAsia" w:ascii="宋体" w:hAnsi="宋体" w:eastAsia="宋体" w:cs="宋体"/>
          <w:color w:val="auto"/>
          <w:kern w:val="0"/>
          <w:sz w:val="24"/>
          <w:szCs w:val="24"/>
          <w:highlight w:val="none"/>
          <w:lang w:val="en-US" w:eastAsia="zh-CN" w:bidi="ar-SA"/>
        </w:rPr>
        <w:t>磋商小组由采购人代表和评审专家共3人及以上单数组成，其中评审专家人数不得少于磋商成员总数的2/3，并在</w:t>
      </w:r>
      <w:r>
        <w:rPr>
          <w:rFonts w:hint="eastAsia" w:ascii="宋体" w:hAnsi="宋体" w:cs="宋体"/>
          <w:color w:val="auto"/>
          <w:kern w:val="0"/>
          <w:sz w:val="24"/>
          <w:szCs w:val="24"/>
          <w:highlight w:val="none"/>
          <w:lang w:val="en-US" w:eastAsia="zh-CN" w:bidi="ar-SA"/>
        </w:rPr>
        <w:t>枝江市综合专家库</w:t>
      </w:r>
      <w:r>
        <w:rPr>
          <w:rFonts w:hint="eastAsia" w:ascii="宋体" w:hAnsi="宋体" w:eastAsia="宋体" w:cs="宋体"/>
          <w:color w:val="auto"/>
          <w:kern w:val="0"/>
          <w:sz w:val="24"/>
          <w:szCs w:val="24"/>
          <w:highlight w:val="none"/>
          <w:lang w:val="en-US" w:eastAsia="zh-CN" w:bidi="ar-SA"/>
        </w:rPr>
        <w:t>中随机抽取。</w:t>
      </w:r>
    </w:p>
    <w:p>
      <w:pPr>
        <w:keepNext w:val="0"/>
        <w:keepLines w:val="0"/>
        <w:pageBreakBefore w:val="0"/>
        <w:widowControl/>
        <w:kinsoku/>
        <w:wordWrap/>
        <w:overflowPunct/>
        <w:topLinePunct w:val="0"/>
        <w:autoSpaceDE/>
        <w:autoSpaceDN/>
        <w:bidi w:val="0"/>
        <w:adjustRightInd/>
        <w:snapToGrid w:val="0"/>
        <w:spacing w:line="440" w:lineRule="exact"/>
        <w:ind w:firstLine="480" w:firstLineChars="200"/>
        <w:textAlignment w:val="baseline"/>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22.2磋商方法</w:t>
      </w:r>
    </w:p>
    <w:p>
      <w:pPr>
        <w:keepNext w:val="0"/>
        <w:keepLines w:val="0"/>
        <w:pageBreakBefore w:val="0"/>
        <w:widowControl/>
        <w:kinsoku/>
        <w:wordWrap/>
        <w:overflowPunct/>
        <w:topLinePunct w:val="0"/>
        <w:autoSpaceDE/>
        <w:autoSpaceDN/>
        <w:bidi w:val="0"/>
        <w:adjustRightInd/>
        <w:snapToGrid w:val="0"/>
        <w:spacing w:line="440" w:lineRule="exact"/>
        <w:ind w:firstLine="420"/>
        <w:textAlignment w:val="baseline"/>
        <w:rPr>
          <w:rFonts w:hint="eastAsia" w:ascii="宋体" w:hAnsi="宋体" w:eastAsia="宋体" w:cs="宋体"/>
          <w:color w:val="auto"/>
          <w:kern w:val="0"/>
          <w:sz w:val="24"/>
          <w:szCs w:val="24"/>
          <w:highlight w:val="none"/>
          <w:lang w:val="en-US" w:eastAsia="zh-CN" w:bidi="ar-SA"/>
        </w:rPr>
      </w:pPr>
      <w:bookmarkStart w:id="80" w:name="EBd38609b01d694b1e87dbfd98b6adf252"/>
      <w:r>
        <w:rPr>
          <w:rFonts w:hint="eastAsia" w:ascii="宋体" w:hAnsi="宋体" w:eastAsia="宋体" w:cs="宋体"/>
          <w:color w:val="auto"/>
          <w:kern w:val="0"/>
          <w:sz w:val="24"/>
          <w:szCs w:val="24"/>
          <w:highlight w:val="none"/>
          <w:lang w:val="en-US" w:eastAsia="zh-CN" w:bidi="ar-SA"/>
        </w:rPr>
        <w:t>22.2.1磋商小组将按照磋商文件确定的磋商方法进行评审。磋商小组对响应文件的评审分为响应文件初审、澄清有关问题、比较与评价响应文件、推荐成交候选人名单。</w:t>
      </w:r>
    </w:p>
    <w:p>
      <w:pPr>
        <w:keepNext w:val="0"/>
        <w:keepLines w:val="0"/>
        <w:pageBreakBefore w:val="0"/>
        <w:widowControl/>
        <w:kinsoku/>
        <w:wordWrap/>
        <w:overflowPunct/>
        <w:topLinePunct w:val="0"/>
        <w:autoSpaceDE/>
        <w:autoSpaceDN/>
        <w:bidi w:val="0"/>
        <w:adjustRightInd/>
        <w:snapToGrid w:val="0"/>
        <w:spacing w:line="440" w:lineRule="exact"/>
        <w:ind w:firstLine="420"/>
        <w:textAlignment w:val="baseline"/>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22.2.2本项目评审方法详见磋商文件“第四章评审方法、步骤及标准”。</w:t>
      </w:r>
      <w:bookmarkEnd w:id="80"/>
    </w:p>
    <w:p>
      <w:pPr>
        <w:pStyle w:val="12"/>
        <w:keepNext w:val="0"/>
        <w:keepLines w:val="0"/>
        <w:pageBreakBefore w:val="0"/>
        <w:kinsoku/>
        <w:wordWrap/>
        <w:overflowPunct/>
        <w:topLinePunct w:val="0"/>
        <w:autoSpaceDE/>
        <w:autoSpaceDN/>
        <w:bidi w:val="0"/>
        <w:adjustRightInd/>
        <w:snapToGrid w:val="0"/>
        <w:spacing w:line="440" w:lineRule="exact"/>
        <w:ind w:firstLine="240" w:firstLineChars="10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22.3响应文件的初审</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响应文件的初审分为资格性检查和符合性检查。</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22.3.1资格性检查</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bookmarkStart w:id="81" w:name="EBf942974210a34c51874e0a7f62c10e8a"/>
      <w:r>
        <w:rPr>
          <w:rFonts w:hint="eastAsia" w:ascii="宋体" w:hAnsi="宋体" w:eastAsia="宋体" w:cs="宋体"/>
          <w:color w:val="auto"/>
          <w:kern w:val="0"/>
          <w:sz w:val="24"/>
          <w:szCs w:val="24"/>
          <w:highlight w:val="none"/>
          <w:lang w:val="en-US" w:eastAsia="zh-CN" w:bidi="ar-SA"/>
        </w:rPr>
        <w:t>（1）磋商小组根据磋商文件规定的资格性审查内容进行资格审查，对供应商的响应文件进行资格审查。资格性审查不合格的供应商的响应文件将视为无效响应文件。</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（2）磋商小组在进行资格审查时，不得改变磋商文件中已载明的资格条件、标准和办法。资格性审查不合格的供应商的响应文件将视为无效响应文件。</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（3）供应商在递交响应文件的同时，应逐项对照上述资格性审查要求提交相应的证明材料和资格证明文件供磋商小组核查，否则磋商小组将不予采信。</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4）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（5）通过资格性审查的合格供应商，其响应文件方可进入下一个审查阶段。</w:t>
      </w:r>
      <w:bookmarkEnd w:id="81"/>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22.3.2符合性检查</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bookmarkStart w:id="82" w:name="EBbe4544e250ec4ae4880596388bf57bf3"/>
      <w:r>
        <w:rPr>
          <w:rFonts w:hint="eastAsia" w:ascii="宋体" w:hAnsi="宋体" w:eastAsia="宋体" w:cs="宋体"/>
          <w:color w:val="auto"/>
          <w:kern w:val="0"/>
          <w:sz w:val="24"/>
          <w:szCs w:val="24"/>
          <w:highlight w:val="none"/>
          <w:lang w:val="en-US" w:eastAsia="zh-CN" w:bidi="ar-SA"/>
        </w:rPr>
        <w:t>磋商小组根据磋商文件规定的符合性审查内容进行符合性审查，对供应商的响应文件进行符合性检查。符合性检查不合格的供应商的响应文件作无效响应文件。</w:t>
      </w:r>
      <w:bookmarkEnd w:id="82"/>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在磋商过程中，磋商小组发现供应商有下列行为之一的，将视为无效响应文件：</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bookmarkStart w:id="83" w:name="EB31289bcc6cd64456a9e288b12a6b82c9"/>
      <w:r>
        <w:rPr>
          <w:rFonts w:hint="eastAsia" w:ascii="宋体" w:hAnsi="宋体" w:eastAsia="宋体" w:cs="宋体"/>
          <w:color w:val="auto"/>
          <w:kern w:val="0"/>
          <w:sz w:val="24"/>
          <w:szCs w:val="24"/>
          <w:highlight w:val="none"/>
          <w:lang w:val="en-US" w:eastAsia="zh-CN" w:bidi="ar-SA"/>
        </w:rPr>
        <w:t>（1）属于同一集团、协会、商会等组织成员的供应商按照该组织要求协同投标；</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（2）不同供应商的响应文件由同一单位或者个人编制；</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（3）不同供应商委托同一单位或者个人办理投标事宜；</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（4）不同供应商的响应文件载明的项目管理成员为同一人；</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（5）不同供应商的响应文件异常一致或者投标报价呈规律性差异；</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（6）不同供应商的响应文件相互混装；</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（7）不同供应商的投标保证金从同一单位或者个人的账户转出；</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（8）使用伪造、变造的行政许可证件；</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（9）提供虚假的财务状况或者业绩；</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（10）提供虚假的项目负责人或者主要技术人员简历、劳动关系证明；</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（11）提供虚假的信用状况；</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（12）其他弄虚作假的行为。</w:t>
      </w:r>
    </w:p>
    <w:bookmarkEnd w:id="83"/>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22.3.3 磋商小组审查响应文件是否完整、有无计算上的错误等。</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22.3.4磋商报价的修正　</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磋商小组对确定为实质上响应磋商文件要求的响应文件进行校核，看其是否有计算或表达上的错误，算术错误将按以下方法更正：</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响应文件的大写金额和小写金额不一致的，以大写金额为准；总价金额与单价汇总金额不一致的，以单价汇总金额计算结果为准；单价金额小数点有明显错位的，应以总价为准，并修改单价。如果供应商不接受对其错误的更正，其将被视为无效响应文件。</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22.3.5在详细评审之前，磋商小组要审查每份响应文件是否实质上响应了磋商文件的要求。实质上响应的响应文件应该是与磋商文件要求的关键条款、条件和规格相符没有重大偏离的响应文件。对关键条款的偏离或反对将被认定为是实质上的不响应。磋商小组决定响应文件的响应性只根据响应文件本身的真实无误的内容，而不依据外部的证据。但响应文件有不真实不正确的内容的除外。</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22.3.6实质上没有响应磋商文件要求的响应将被视为无效响应文件。供应商不得通过修正或撤销不合要求的偏离从而使其响应文件成为实质上响应的响应文件。</w:t>
      </w:r>
    </w:p>
    <w:p>
      <w:pPr>
        <w:pStyle w:val="10"/>
        <w:keepNext w:val="0"/>
        <w:keepLines w:val="0"/>
        <w:pageBreakBefore w:val="0"/>
        <w:kinsoku/>
        <w:wordWrap/>
        <w:overflowPunct/>
        <w:topLinePunct w:val="0"/>
        <w:autoSpaceDE/>
        <w:autoSpaceDN/>
        <w:bidi w:val="0"/>
        <w:adjustRightInd/>
        <w:snapToGrid w:val="0"/>
        <w:spacing w:line="440" w:lineRule="exact"/>
        <w:ind w:firstLine="484" w:firstLineChars="202"/>
        <w:rPr>
          <w:rFonts w:hint="eastAsia" w:ascii="宋体" w:hAnsi="宋体" w:cs="宋体"/>
          <w:color w:val="auto"/>
          <w:sz w:val="24"/>
          <w:szCs w:val="24"/>
          <w:highlight w:val="none"/>
        </w:rPr>
      </w:pPr>
      <w:r>
        <w:rPr>
          <w:rFonts w:hint="eastAsia" w:ascii="宋体" w:hAnsi="宋体" w:cs="宋体"/>
          <w:color w:val="auto"/>
          <w:kern w:val="0"/>
          <w:sz w:val="24"/>
          <w:szCs w:val="24"/>
          <w:highlight w:val="none"/>
          <w:lang w:val="en-US" w:eastAsia="zh-CN"/>
        </w:rPr>
        <w:t>22</w:t>
      </w:r>
      <w:r>
        <w:rPr>
          <w:rFonts w:hint="eastAsia" w:ascii="宋体" w:hAnsi="宋体" w:cs="宋体"/>
          <w:color w:val="auto"/>
          <w:kern w:val="0"/>
          <w:sz w:val="24"/>
          <w:szCs w:val="24"/>
          <w:highlight w:val="none"/>
        </w:rPr>
        <w:t>.3.7供应商的澄清文件是其响应文件</w:t>
      </w:r>
      <w:r>
        <w:rPr>
          <w:rFonts w:hint="eastAsia" w:ascii="宋体" w:hAnsi="宋体" w:cs="宋体"/>
          <w:color w:val="auto"/>
          <w:sz w:val="24"/>
          <w:szCs w:val="24"/>
          <w:highlight w:val="none"/>
        </w:rPr>
        <w:t>的组成部分。</w:t>
      </w:r>
    </w:p>
    <w:p>
      <w:pPr>
        <w:pStyle w:val="10"/>
        <w:snapToGrid w:val="0"/>
        <w:spacing w:line="360" w:lineRule="auto"/>
        <w:ind w:firstLine="562"/>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lang w:val="en-US" w:eastAsia="zh-CN"/>
        </w:rPr>
        <w:t>22</w:t>
      </w:r>
      <w:r>
        <w:rPr>
          <w:rFonts w:hint="eastAsia" w:ascii="宋体" w:hAnsi="宋体" w:cs="宋体"/>
          <w:b/>
          <w:color w:val="auto"/>
          <w:kern w:val="0"/>
          <w:sz w:val="24"/>
          <w:szCs w:val="24"/>
          <w:highlight w:val="none"/>
        </w:rPr>
        <w:t>.4磋商</w:t>
      </w:r>
    </w:p>
    <w:p>
      <w:pPr>
        <w:pStyle w:val="10"/>
        <w:snapToGrid w:val="0"/>
        <w:spacing w:line="360" w:lineRule="auto"/>
        <w:ind w:firstLine="562"/>
        <w:rPr>
          <w:rFonts w:hint="eastAsia" w:ascii="宋体" w:hAnsi="宋体" w:cs="宋体"/>
          <w:b/>
          <w:color w:val="auto"/>
          <w:kern w:val="0"/>
          <w:sz w:val="24"/>
          <w:szCs w:val="24"/>
          <w:highlight w:val="none"/>
        </w:rPr>
      </w:pPr>
      <w:bookmarkStart w:id="84" w:name="EB22aa4da8357a416884239198adc0a1cb"/>
      <w:r>
        <w:rPr>
          <w:rFonts w:hint="eastAsia" w:ascii="宋体" w:hAnsi="宋体" w:cs="宋体"/>
          <w:b/>
          <w:color w:val="auto"/>
          <w:kern w:val="0"/>
          <w:sz w:val="24"/>
          <w:szCs w:val="24"/>
          <w:highlight w:val="none"/>
          <w:lang w:val="en-US" w:eastAsia="zh-CN"/>
        </w:rPr>
        <w:t>22</w:t>
      </w:r>
      <w:r>
        <w:rPr>
          <w:rFonts w:hint="eastAsia" w:ascii="宋体" w:hAnsi="宋体" w:cs="宋体"/>
          <w:b/>
          <w:color w:val="auto"/>
          <w:kern w:val="0"/>
          <w:sz w:val="24"/>
          <w:szCs w:val="24"/>
          <w:highlight w:val="none"/>
        </w:rPr>
        <w:t>.4.1磋商小组应当集中与单一供应商分别进行磋商，并给予所有参加磋商的供应商平等的磋商机会。</w:t>
      </w:r>
    </w:p>
    <w:p>
      <w:pPr>
        <w:pStyle w:val="10"/>
        <w:snapToGrid w:val="0"/>
        <w:spacing w:line="360" w:lineRule="auto"/>
        <w:ind w:firstLine="562"/>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lang w:val="en-US" w:eastAsia="zh-CN"/>
        </w:rPr>
        <w:t>22</w:t>
      </w:r>
      <w:r>
        <w:rPr>
          <w:rFonts w:hint="eastAsia" w:ascii="宋体" w:hAnsi="宋体" w:cs="宋体"/>
          <w:b/>
          <w:color w:val="auto"/>
          <w:kern w:val="0"/>
          <w:sz w:val="24"/>
          <w:szCs w:val="24"/>
          <w:highlight w:val="none"/>
        </w:rPr>
        <w:t>.4.2在磋商过程中，磋商小组可以根据磋商文件和磋商情况实质性变动采购需求中的技术、服务要求以及合同草案条款，但不得变动磋商文件中的其他内容。实质性变动的内容，须经采购人代表确认。</w:t>
      </w:r>
    </w:p>
    <w:p>
      <w:pPr>
        <w:pStyle w:val="10"/>
        <w:snapToGrid w:val="0"/>
        <w:spacing w:line="360" w:lineRule="auto"/>
        <w:ind w:firstLine="562"/>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lang w:val="en-US" w:eastAsia="zh-CN"/>
        </w:rPr>
        <w:t>22</w:t>
      </w:r>
      <w:r>
        <w:rPr>
          <w:rFonts w:hint="eastAsia" w:ascii="宋体" w:hAnsi="宋体" w:cs="宋体"/>
          <w:b/>
          <w:color w:val="auto"/>
          <w:kern w:val="0"/>
          <w:sz w:val="24"/>
          <w:szCs w:val="24"/>
          <w:highlight w:val="none"/>
        </w:rPr>
        <w:t>.4.3对磋商文件作出的实质性变动是磋商文件的有效组成部分，磋商小组应当及时通知所有参加磋商的供应商。</w:t>
      </w:r>
    </w:p>
    <w:p>
      <w:pPr>
        <w:pStyle w:val="10"/>
        <w:snapToGrid w:val="0"/>
        <w:spacing w:line="360" w:lineRule="auto"/>
        <w:ind w:firstLine="562"/>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lang w:val="en-US" w:eastAsia="zh-CN"/>
        </w:rPr>
        <w:t>22</w:t>
      </w:r>
      <w:r>
        <w:rPr>
          <w:rFonts w:hint="eastAsia" w:ascii="宋体" w:hAnsi="宋体" w:cs="宋体"/>
          <w:b/>
          <w:color w:val="auto"/>
          <w:kern w:val="0"/>
          <w:sz w:val="24"/>
          <w:szCs w:val="24"/>
          <w:highlight w:val="none"/>
        </w:rPr>
        <w:t>.4.4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pPr>
        <w:pStyle w:val="10"/>
        <w:snapToGrid w:val="0"/>
        <w:spacing w:line="360" w:lineRule="auto"/>
        <w:ind w:firstLine="562"/>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lang w:val="en-US" w:eastAsia="zh-CN"/>
        </w:rPr>
        <w:t>22</w:t>
      </w:r>
      <w:r>
        <w:rPr>
          <w:rFonts w:hint="eastAsia" w:ascii="宋体" w:hAnsi="宋体" w:cs="宋体"/>
          <w:b/>
          <w:color w:val="auto"/>
          <w:kern w:val="0"/>
          <w:sz w:val="24"/>
          <w:szCs w:val="24"/>
          <w:highlight w:val="none"/>
        </w:rPr>
        <w:t>.4.5磋商文件能够详细列明采购标的的技术、服务要求的，磋商结束后，磋商小组应当要求所有实质性响应的供应商在规定时间内提交最后报价，最后报价是供应商响应文件的有效组成部分，提交最后报价的供应商不得少于3家。</w:t>
      </w:r>
    </w:p>
    <w:p>
      <w:pPr>
        <w:pStyle w:val="10"/>
        <w:snapToGrid w:val="0"/>
        <w:spacing w:line="360" w:lineRule="auto"/>
        <w:ind w:firstLine="562"/>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lang w:val="en-US" w:eastAsia="zh-CN"/>
        </w:rPr>
        <w:t>22</w:t>
      </w:r>
      <w:r>
        <w:rPr>
          <w:rFonts w:hint="eastAsia" w:ascii="宋体" w:hAnsi="宋体" w:cs="宋体"/>
          <w:b/>
          <w:color w:val="auto"/>
          <w:kern w:val="0"/>
          <w:sz w:val="24"/>
          <w:szCs w:val="24"/>
          <w:highlight w:val="none"/>
        </w:rPr>
        <w:t>.4.6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pPr>
        <w:pStyle w:val="10"/>
        <w:snapToGrid w:val="0"/>
        <w:spacing w:line="360" w:lineRule="auto"/>
        <w:ind w:firstLine="562"/>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lang w:val="en-US" w:eastAsia="zh-CN"/>
        </w:rPr>
        <w:t>22</w:t>
      </w:r>
      <w:r>
        <w:rPr>
          <w:rFonts w:hint="eastAsia" w:ascii="宋体" w:hAnsi="宋体" w:cs="宋体"/>
          <w:b/>
          <w:color w:val="auto"/>
          <w:kern w:val="0"/>
          <w:sz w:val="24"/>
          <w:szCs w:val="24"/>
          <w:highlight w:val="none"/>
        </w:rPr>
        <w:t>.4.7符合下列情形，在采购过程中符合要求的供应商可以为2家：</w:t>
      </w:r>
    </w:p>
    <w:p>
      <w:pPr>
        <w:pStyle w:val="10"/>
        <w:snapToGrid w:val="0"/>
        <w:spacing w:line="360" w:lineRule="auto"/>
        <w:ind w:firstLine="562"/>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t>（1）政府购买服务项目（含政府和社会资本合作项目）；</w:t>
      </w:r>
    </w:p>
    <w:p>
      <w:pPr>
        <w:pStyle w:val="10"/>
        <w:snapToGrid w:val="0"/>
        <w:spacing w:line="360" w:lineRule="auto"/>
        <w:ind w:firstLine="562"/>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t>（2）市场竞争不充分的科研项目，以及需要扶持的科技成果转化项目。</w:t>
      </w:r>
    </w:p>
    <w:p>
      <w:pPr>
        <w:pStyle w:val="10"/>
        <w:snapToGrid w:val="0"/>
        <w:spacing w:line="360" w:lineRule="auto"/>
        <w:ind w:firstLine="562"/>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lang w:val="en-US" w:eastAsia="zh-CN"/>
        </w:rPr>
        <w:t>22</w:t>
      </w:r>
      <w:r>
        <w:rPr>
          <w:rFonts w:hint="eastAsia" w:ascii="宋体" w:hAnsi="宋体" w:cs="宋体"/>
          <w:b/>
          <w:color w:val="auto"/>
          <w:kern w:val="0"/>
          <w:sz w:val="24"/>
          <w:szCs w:val="24"/>
          <w:highlight w:val="none"/>
        </w:rPr>
        <w:t>.4.8已提交响应文件的供应商，在提交最后报价之前，可以根据磋商情况退出磋商。其磋商保证金将予以退还。</w:t>
      </w:r>
    </w:p>
    <w:p>
      <w:pPr>
        <w:pStyle w:val="10"/>
        <w:snapToGrid w:val="0"/>
        <w:spacing w:line="360" w:lineRule="auto"/>
        <w:ind w:firstLine="562"/>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lang w:val="en-US" w:eastAsia="zh-CN"/>
        </w:rPr>
        <w:t>22</w:t>
      </w:r>
      <w:r>
        <w:rPr>
          <w:rFonts w:hint="eastAsia" w:ascii="宋体" w:hAnsi="宋体" w:cs="宋体"/>
          <w:b/>
          <w:color w:val="auto"/>
          <w:kern w:val="0"/>
          <w:sz w:val="24"/>
          <w:szCs w:val="24"/>
          <w:highlight w:val="none"/>
        </w:rPr>
        <w:t>.4.9经磋商确定最终采购需求和提交最后报价的供应商后，由磋商小组采用综合评分法对提交最后报价的供应商的响应文件和最后报价进行综合评分。</w:t>
      </w:r>
    </w:p>
    <w:bookmarkEnd w:id="84"/>
    <w:p>
      <w:pPr>
        <w:pStyle w:val="10"/>
        <w:snapToGrid w:val="0"/>
        <w:spacing w:line="360" w:lineRule="auto"/>
        <w:ind w:firstLine="562"/>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lang w:val="en-US" w:eastAsia="zh-CN"/>
        </w:rPr>
        <w:t>22</w:t>
      </w:r>
      <w:r>
        <w:rPr>
          <w:rFonts w:hint="eastAsia" w:ascii="宋体" w:hAnsi="宋体" w:cs="宋体"/>
          <w:b/>
          <w:color w:val="auto"/>
          <w:kern w:val="0"/>
          <w:sz w:val="24"/>
          <w:szCs w:val="24"/>
          <w:highlight w:val="none"/>
        </w:rPr>
        <w:t>.5采购结果确认</w:t>
      </w:r>
    </w:p>
    <w:p>
      <w:pPr>
        <w:pStyle w:val="10"/>
        <w:snapToGrid w:val="0"/>
        <w:spacing w:line="360" w:lineRule="auto"/>
        <w:ind w:firstLine="560"/>
        <w:rPr>
          <w:rFonts w:hint="eastAsia" w:ascii="宋体" w:hAnsi="宋体" w:cs="宋体"/>
          <w:color w:val="auto"/>
          <w:kern w:val="0"/>
          <w:sz w:val="24"/>
          <w:szCs w:val="24"/>
          <w:highlight w:val="none"/>
        </w:rPr>
      </w:pPr>
      <w:bookmarkStart w:id="85" w:name="EB3549597e7b4443a8b7a54cc7cbcdcfd7"/>
      <w:r>
        <w:rPr>
          <w:rFonts w:hint="eastAsia" w:ascii="宋体" w:hAnsi="宋体" w:cs="宋体"/>
          <w:color w:val="auto"/>
          <w:kern w:val="0"/>
          <w:sz w:val="24"/>
          <w:szCs w:val="24"/>
          <w:highlight w:val="none"/>
        </w:rPr>
        <w:t>磋商小组按照采购文件确定的评标方法、步骤、标准，对响应文件进行评审。按评审后得分由高到底顺序排列。得分相同的，按供应商报价由低到高的顺序排列。得分且报价相同的，按技术指标优劣顺序排列。磋商小组依据对各响应文件的评审结果，按各供应商的得分由高到低的顺序向采购人推荐成交候选供应商。</w:t>
      </w:r>
      <w:bookmarkEnd w:id="85"/>
    </w:p>
    <w:p>
      <w:pPr>
        <w:pStyle w:val="10"/>
        <w:snapToGrid w:val="0"/>
        <w:spacing w:line="360" w:lineRule="auto"/>
        <w:ind w:firstLine="560"/>
        <w:rPr>
          <w:rFonts w:hint="eastAsia" w:ascii="宋体" w:hAnsi="宋体" w:cs="宋体"/>
          <w:b/>
          <w:bCs/>
          <w:color w:val="auto"/>
          <w:kern w:val="0"/>
          <w:sz w:val="24"/>
          <w:szCs w:val="24"/>
          <w:highlight w:val="none"/>
        </w:rPr>
      </w:pPr>
      <w:r>
        <w:rPr>
          <w:rFonts w:hint="eastAsia" w:ascii="宋体" w:hAnsi="宋体" w:cs="宋体"/>
          <w:b/>
          <w:bCs/>
          <w:color w:val="auto"/>
          <w:kern w:val="0"/>
          <w:sz w:val="24"/>
          <w:szCs w:val="24"/>
          <w:highlight w:val="none"/>
          <w:lang w:val="en-US" w:eastAsia="zh-CN"/>
        </w:rPr>
        <w:t>22</w:t>
      </w:r>
      <w:r>
        <w:rPr>
          <w:rFonts w:hint="eastAsia" w:ascii="宋体" w:hAnsi="宋体" w:cs="宋体"/>
          <w:b/>
          <w:bCs/>
          <w:color w:val="auto"/>
          <w:kern w:val="0"/>
          <w:sz w:val="24"/>
          <w:szCs w:val="24"/>
          <w:highlight w:val="none"/>
        </w:rPr>
        <w:t>.6公示或公告</w:t>
      </w:r>
    </w:p>
    <w:p>
      <w:pPr>
        <w:pStyle w:val="10"/>
        <w:snapToGrid w:val="0"/>
        <w:spacing w:line="360" w:lineRule="auto"/>
        <w:ind w:firstLine="560"/>
        <w:rPr>
          <w:rFonts w:hint="eastAsia" w:ascii="宋体" w:hAnsi="宋体" w:cs="宋体"/>
          <w:color w:val="auto"/>
          <w:kern w:val="0"/>
          <w:sz w:val="24"/>
          <w:szCs w:val="24"/>
          <w:highlight w:val="none"/>
        </w:rPr>
      </w:pPr>
      <w:bookmarkStart w:id="86" w:name="EBe40544e1a6954c7094f842d85638501a"/>
      <w:r>
        <w:rPr>
          <w:rFonts w:hint="eastAsia" w:ascii="宋体" w:hAnsi="宋体" w:cs="宋体"/>
          <w:color w:val="auto"/>
          <w:kern w:val="0"/>
          <w:sz w:val="24"/>
          <w:szCs w:val="24"/>
          <w:highlight w:val="none"/>
          <w:lang w:val="en-US" w:eastAsia="zh-CN"/>
        </w:rPr>
        <w:t>22</w:t>
      </w:r>
      <w:r>
        <w:rPr>
          <w:rFonts w:hint="eastAsia" w:ascii="宋体" w:hAnsi="宋体" w:cs="宋体"/>
          <w:color w:val="auto"/>
          <w:kern w:val="0"/>
          <w:sz w:val="24"/>
          <w:szCs w:val="24"/>
          <w:highlight w:val="none"/>
        </w:rPr>
        <w:t>.6.1成交供应商确定后，采购代理机构将在</w:t>
      </w:r>
      <w:r>
        <w:rPr>
          <w:rFonts w:hint="eastAsia" w:ascii="宋体" w:hAnsi="宋体" w:cs="宋体"/>
          <w:color w:val="auto"/>
          <w:sz w:val="24"/>
          <w:szCs w:val="24"/>
          <w:highlight w:val="none"/>
          <w:lang w:eastAsia="zh-CN"/>
        </w:rPr>
        <w:t>枝江金润源集团公司官网（http://www.zjjryjt.cn/）或湖北姚家港绿色化工投资控股集团有限公司（http://www.hbghjt.cn/）</w:t>
      </w:r>
      <w:r>
        <w:rPr>
          <w:rFonts w:hint="eastAsia" w:ascii="宋体" w:hAnsi="宋体" w:cs="宋体"/>
          <w:color w:val="auto"/>
          <w:kern w:val="0"/>
          <w:sz w:val="24"/>
          <w:szCs w:val="24"/>
          <w:highlight w:val="none"/>
        </w:rPr>
        <w:t>上发布成交公告，同时向成交供应商发出《成交通知书》。《成交通知书》是合同的组成部分,对成交供应商和采购人具有同等法律效力。</w:t>
      </w:r>
      <w:bookmarkEnd w:id="86"/>
    </w:p>
    <w:p>
      <w:pPr>
        <w:rPr>
          <w:rFonts w:hint="eastAsia" w:ascii="宋体" w:hAnsi="宋体" w:cs="宋体"/>
          <w:color w:val="auto"/>
          <w:sz w:val="24"/>
          <w:szCs w:val="24"/>
          <w:highlight w:val="none"/>
        </w:rPr>
      </w:pPr>
      <w:bookmarkStart w:id="87" w:name="EB6a85fcf52dde485ab0c24660559aeffc"/>
      <w:bookmarkStart w:id="88" w:name="_Toc293738996"/>
      <w:bookmarkStart w:id="89" w:name="_Toc293736015"/>
      <w:bookmarkStart w:id="90" w:name="_Toc293736058"/>
      <w:bookmarkStart w:id="91" w:name="_Toc446599315"/>
      <w:r>
        <w:rPr>
          <w:rFonts w:hint="eastAsia" w:ascii="宋体" w:hAnsi="宋体" w:cs="宋体"/>
          <w:color w:val="auto"/>
          <w:sz w:val="24"/>
          <w:szCs w:val="24"/>
          <w:highlight w:val="none"/>
        </w:rPr>
        <w:t xml:space="preserve"> </w:t>
      </w:r>
      <w:bookmarkEnd w:id="87"/>
      <w:bookmarkStart w:id="92" w:name="EB7341cf63281f45409c2a7b3f88858ffa"/>
      <w:r>
        <w:rPr>
          <w:rFonts w:hint="eastAsia" w:ascii="宋体" w:hAnsi="宋体" w:cs="宋体"/>
          <w:color w:val="auto"/>
          <w:sz w:val="24"/>
          <w:szCs w:val="24"/>
          <w:highlight w:val="none"/>
        </w:rPr>
        <w:t xml:space="preserve"> </w:t>
      </w:r>
      <w:bookmarkEnd w:id="92"/>
      <w:bookmarkStart w:id="93" w:name="EBc8fda26b5cf4465ba8844c3de881e871"/>
      <w:r>
        <w:rPr>
          <w:rFonts w:hint="eastAsia" w:ascii="宋体" w:hAnsi="宋体" w:cs="宋体"/>
          <w:color w:val="auto"/>
          <w:sz w:val="24"/>
          <w:szCs w:val="24"/>
          <w:highlight w:val="none"/>
        </w:rPr>
        <w:t xml:space="preserve"> </w:t>
      </w:r>
      <w:bookmarkEnd w:id="93"/>
    </w:p>
    <w:p>
      <w:pPr>
        <w:pStyle w:val="12"/>
        <w:jc w:val="center"/>
        <w:rPr>
          <w:rFonts w:hint="eastAsia" w:hAnsi="宋体" w:cs="宋体"/>
          <w:b/>
          <w:color w:val="auto"/>
          <w:sz w:val="24"/>
          <w:szCs w:val="24"/>
          <w:highlight w:val="none"/>
        </w:rPr>
      </w:pPr>
      <w:bookmarkStart w:id="94" w:name="_Toc17377601"/>
      <w:r>
        <w:rPr>
          <w:rFonts w:hint="eastAsia" w:hAnsi="宋体" w:cs="宋体"/>
          <w:b/>
          <w:color w:val="auto"/>
          <w:sz w:val="24"/>
          <w:szCs w:val="24"/>
          <w:highlight w:val="none"/>
        </w:rPr>
        <w:t>六、授予合同</w:t>
      </w:r>
      <w:bookmarkEnd w:id="88"/>
      <w:bookmarkEnd w:id="89"/>
      <w:bookmarkEnd w:id="90"/>
      <w:bookmarkEnd w:id="91"/>
      <w:bookmarkEnd w:id="94"/>
    </w:p>
    <w:p>
      <w:pPr>
        <w:pStyle w:val="10"/>
        <w:snapToGrid w:val="0"/>
        <w:spacing w:line="360" w:lineRule="auto"/>
        <w:ind w:firstLine="560"/>
        <w:rPr>
          <w:rFonts w:hint="eastAsia" w:ascii="宋体" w:hAnsi="宋体" w:cs="宋体"/>
          <w:b/>
          <w:bCs/>
          <w:color w:val="auto"/>
          <w:kern w:val="0"/>
          <w:sz w:val="24"/>
          <w:szCs w:val="24"/>
          <w:highlight w:val="none"/>
          <w:lang w:val="en-US" w:eastAsia="zh-CN"/>
        </w:rPr>
      </w:pPr>
      <w:bookmarkStart w:id="95" w:name="EB9657f9672417406c89fd1d3627d42d4d"/>
      <w:r>
        <w:rPr>
          <w:rFonts w:hint="eastAsia" w:ascii="宋体" w:hAnsi="宋体" w:cs="宋体"/>
          <w:b/>
          <w:bCs/>
          <w:color w:val="auto"/>
          <w:kern w:val="0"/>
          <w:sz w:val="24"/>
          <w:szCs w:val="24"/>
          <w:highlight w:val="none"/>
          <w:lang w:val="en-US" w:eastAsia="zh-CN"/>
        </w:rPr>
        <w:t>23.1合同授予标准</w:t>
      </w:r>
    </w:p>
    <w:p>
      <w:pPr>
        <w:pStyle w:val="10"/>
        <w:snapToGrid w:val="0"/>
        <w:spacing w:line="360" w:lineRule="auto"/>
        <w:ind w:firstLine="560"/>
        <w:rPr>
          <w:rFonts w:hint="eastAsia" w:ascii="宋体" w:hAnsi="宋体" w:cs="宋体"/>
          <w:b/>
          <w:bCs/>
          <w:color w:val="auto"/>
          <w:kern w:val="0"/>
          <w:sz w:val="24"/>
          <w:szCs w:val="24"/>
          <w:highlight w:val="none"/>
          <w:lang w:val="en-US" w:eastAsia="zh-CN"/>
        </w:rPr>
      </w:pPr>
      <w:r>
        <w:rPr>
          <w:rFonts w:hint="eastAsia" w:ascii="宋体" w:hAnsi="宋体" w:cs="宋体"/>
          <w:b/>
          <w:bCs/>
          <w:color w:val="auto"/>
          <w:kern w:val="0"/>
          <w:sz w:val="24"/>
          <w:szCs w:val="24"/>
          <w:highlight w:val="none"/>
          <w:lang w:val="en-US" w:eastAsia="zh-CN"/>
        </w:rPr>
        <w:t>23.1.1采购人将把合同授予被确定为实质上响应磋商文件的成交供应商。</w:t>
      </w:r>
    </w:p>
    <w:p>
      <w:pPr>
        <w:pStyle w:val="10"/>
        <w:snapToGrid w:val="0"/>
        <w:spacing w:line="360" w:lineRule="auto"/>
        <w:ind w:firstLine="560"/>
        <w:rPr>
          <w:rFonts w:hint="eastAsia" w:ascii="宋体" w:hAnsi="宋体" w:cs="宋体"/>
          <w:b/>
          <w:bCs/>
          <w:color w:val="auto"/>
          <w:kern w:val="0"/>
          <w:sz w:val="24"/>
          <w:szCs w:val="24"/>
          <w:highlight w:val="none"/>
          <w:lang w:val="en-US" w:eastAsia="zh-CN"/>
        </w:rPr>
      </w:pPr>
      <w:r>
        <w:rPr>
          <w:rFonts w:hint="eastAsia" w:ascii="宋体" w:hAnsi="宋体" w:cs="宋体"/>
          <w:b/>
          <w:bCs/>
          <w:color w:val="auto"/>
          <w:kern w:val="0"/>
          <w:sz w:val="24"/>
          <w:szCs w:val="24"/>
          <w:highlight w:val="none"/>
          <w:lang w:val="en-US" w:eastAsia="zh-CN"/>
        </w:rPr>
        <w:t>23.2签订合同</w:t>
      </w:r>
    </w:p>
    <w:p>
      <w:pPr>
        <w:pStyle w:val="10"/>
        <w:snapToGrid w:val="0"/>
        <w:spacing w:line="360" w:lineRule="auto"/>
        <w:ind w:firstLine="560"/>
        <w:rPr>
          <w:rFonts w:hint="eastAsia" w:ascii="宋体" w:hAnsi="宋体" w:cs="宋体"/>
          <w:b/>
          <w:bCs/>
          <w:color w:val="auto"/>
          <w:kern w:val="0"/>
          <w:sz w:val="24"/>
          <w:szCs w:val="24"/>
          <w:highlight w:val="none"/>
          <w:lang w:val="en-US" w:eastAsia="zh-CN"/>
        </w:rPr>
      </w:pPr>
      <w:r>
        <w:rPr>
          <w:rFonts w:hint="eastAsia" w:ascii="宋体" w:hAnsi="宋体" w:cs="宋体"/>
          <w:b/>
          <w:bCs/>
          <w:color w:val="auto"/>
          <w:kern w:val="0"/>
          <w:sz w:val="24"/>
          <w:szCs w:val="24"/>
          <w:highlight w:val="none"/>
          <w:lang w:val="en-US" w:eastAsia="zh-CN"/>
        </w:rPr>
        <w:t>23.2.1采购人应在《成交通知书》发出之日起30天内，按照磋商文件规定和成交供应商的承诺，与成交供应商签订采购合同。</w:t>
      </w:r>
    </w:p>
    <w:bookmarkEnd w:id="95"/>
    <w:p>
      <w:pPr>
        <w:rPr>
          <w:rFonts w:hint="eastAsia" w:ascii="宋体" w:hAnsi="宋体" w:cs="宋体"/>
          <w:color w:val="auto"/>
          <w:sz w:val="24"/>
          <w:szCs w:val="24"/>
          <w:highlight w:val="none"/>
        </w:rPr>
      </w:pPr>
    </w:p>
    <w:p>
      <w:pPr>
        <w:pStyle w:val="12"/>
        <w:jc w:val="center"/>
        <w:rPr>
          <w:rFonts w:hint="eastAsia" w:hAnsi="宋体" w:cs="宋体"/>
          <w:b/>
          <w:color w:val="auto"/>
          <w:sz w:val="24"/>
          <w:szCs w:val="24"/>
          <w:highlight w:val="none"/>
        </w:rPr>
      </w:pPr>
      <w:bookmarkStart w:id="96" w:name="_Toc17377605"/>
      <w:bookmarkStart w:id="97" w:name="_Toc278891599"/>
      <w:bookmarkStart w:id="98" w:name="_Toc437611460"/>
      <w:bookmarkStart w:id="99" w:name="_Toc446599319"/>
      <w:bookmarkStart w:id="100" w:name="_Toc272247702"/>
      <w:r>
        <w:rPr>
          <w:rFonts w:hint="eastAsia" w:hAnsi="宋体" w:cs="宋体"/>
          <w:b/>
          <w:color w:val="auto"/>
          <w:sz w:val="24"/>
          <w:szCs w:val="24"/>
          <w:highlight w:val="none"/>
        </w:rPr>
        <w:t>七、磋商文件的解释权</w:t>
      </w:r>
      <w:bookmarkEnd w:id="96"/>
      <w:bookmarkEnd w:id="97"/>
      <w:bookmarkEnd w:id="98"/>
      <w:bookmarkEnd w:id="99"/>
      <w:bookmarkEnd w:id="100"/>
    </w:p>
    <w:p>
      <w:pPr>
        <w:pStyle w:val="10"/>
        <w:snapToGrid w:val="0"/>
        <w:spacing w:line="360" w:lineRule="auto"/>
        <w:ind w:firstLine="56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lang w:val="en-US" w:eastAsia="zh-CN"/>
        </w:rPr>
        <w:t>24</w:t>
      </w:r>
      <w:r>
        <w:rPr>
          <w:rFonts w:hint="eastAsia" w:ascii="宋体" w:hAnsi="宋体" w:cs="宋体"/>
          <w:color w:val="auto"/>
          <w:kern w:val="0"/>
          <w:sz w:val="24"/>
          <w:szCs w:val="24"/>
          <w:highlight w:val="none"/>
        </w:rPr>
        <w:t>.1本项目磋商文件的最终解释权为采购人或者采购代理机构所有。</w:t>
      </w:r>
    </w:p>
    <w:p>
      <w:pPr>
        <w:pStyle w:val="8"/>
        <w:kinsoku/>
        <w:wordWrap/>
        <w:overflowPunct/>
        <w:topLinePunct w:val="0"/>
        <w:bidi w:val="0"/>
        <w:spacing w:line="360" w:lineRule="auto"/>
        <w:rPr>
          <w:rFonts w:hint="eastAsia" w:ascii="宋体" w:hAnsi="宋体" w:eastAsia="宋体" w:cs="宋体"/>
          <w:color w:val="auto"/>
          <w:sz w:val="20"/>
          <w:highlight w:val="none"/>
        </w:rPr>
      </w:pPr>
      <w:bookmarkStart w:id="101" w:name="_Toc7859"/>
      <w:r>
        <w:rPr>
          <w:rFonts w:hint="eastAsia" w:ascii="宋体" w:hAnsi="宋体" w:eastAsia="宋体" w:cs="宋体"/>
          <w:color w:val="auto"/>
          <w:highlight w:val="none"/>
        </w:rPr>
        <w:t>第三章 采购需求</w:t>
      </w:r>
      <w:bookmarkEnd w:id="73"/>
      <w:bookmarkEnd w:id="74"/>
      <w:bookmarkEnd w:id="75"/>
      <w:bookmarkEnd w:id="76"/>
      <w:bookmarkEnd w:id="77"/>
      <w:bookmarkEnd w:id="78"/>
      <w:bookmarkEnd w:id="101"/>
      <w:bookmarkStart w:id="102" w:name="EB0970ee43855144799e4f617e05b84e59"/>
    </w:p>
    <w:bookmarkEnd w:id="102"/>
    <w:p>
      <w:pPr>
        <w:pStyle w:val="31"/>
        <w:kinsoku/>
        <w:wordWrap/>
        <w:overflowPunct/>
        <w:topLinePunct w:val="0"/>
        <w:bidi w:val="0"/>
        <w:spacing w:line="360" w:lineRule="auto"/>
        <w:ind w:firstLine="482" w:firstLineChars="200"/>
        <w:rPr>
          <w:rFonts w:hint="eastAsia" w:ascii="宋体" w:hAnsi="宋体" w:eastAsia="宋体" w:cs="宋体"/>
          <w:b/>
          <w:bCs/>
          <w:color w:val="auto"/>
          <w:highlight w:val="yellow"/>
          <w:lang w:eastAsia="zh-CN"/>
        </w:rPr>
      </w:pPr>
      <w:bookmarkStart w:id="103" w:name="_Toc8214"/>
      <w:bookmarkStart w:id="104" w:name="_Toc5795"/>
      <w:r>
        <w:rPr>
          <w:rFonts w:hint="eastAsia" w:ascii="宋体" w:hAnsi="宋体" w:eastAsia="宋体" w:cs="宋体"/>
          <w:b/>
          <w:bCs/>
          <w:color w:val="auto"/>
          <w:highlight w:val="none"/>
          <w:lang w:eastAsia="zh-CN"/>
        </w:rPr>
        <w:t>一、项目概况：</w:t>
      </w:r>
      <w:bookmarkEnd w:id="103"/>
      <w:bookmarkEnd w:id="104"/>
    </w:p>
    <w:p>
      <w:pPr>
        <w:pStyle w:val="31"/>
        <w:kinsoku/>
        <w:wordWrap/>
        <w:overflowPunct/>
        <w:topLinePunct w:val="0"/>
        <w:bidi w:val="0"/>
        <w:spacing w:line="360" w:lineRule="auto"/>
        <w:ind w:firstLine="480" w:firstLineChars="200"/>
        <w:rPr>
          <w:rFonts w:hint="eastAsia" w:ascii="宋体" w:hAnsi="宋体" w:eastAsia="宋体" w:cs="宋体"/>
          <w:b w:val="0"/>
          <w:bCs w:val="0"/>
          <w:color w:val="auto"/>
          <w:highlight w:val="none"/>
          <w:lang w:val="en-US" w:eastAsia="zh-CN"/>
        </w:rPr>
      </w:pPr>
      <w:bookmarkStart w:id="105" w:name="_Toc5700"/>
      <w:bookmarkStart w:id="106" w:name="_Toc32515"/>
      <w:r>
        <w:rPr>
          <w:rFonts w:hint="eastAsia" w:ascii="宋体" w:hAnsi="宋体" w:eastAsia="宋体" w:cs="宋体"/>
          <w:b w:val="0"/>
          <w:bCs w:val="0"/>
          <w:color w:val="auto"/>
          <w:highlight w:val="none"/>
          <w:lang w:val="en-US" w:eastAsia="zh-CN"/>
        </w:rPr>
        <w:t>1、项目编号：</w:t>
      </w:r>
      <w:r>
        <w:rPr>
          <w:rFonts w:hint="eastAsia" w:hAnsi="宋体" w:cs="宋体"/>
          <w:b w:val="0"/>
          <w:bCs w:val="0"/>
          <w:color w:val="auto"/>
          <w:highlight w:val="none"/>
          <w:lang w:val="en-US" w:eastAsia="zh-CN"/>
        </w:rPr>
        <w:t>hbyjg2023-z071</w:t>
      </w:r>
    </w:p>
    <w:p>
      <w:pPr>
        <w:pStyle w:val="31"/>
        <w:kinsoku/>
        <w:wordWrap/>
        <w:overflowPunct/>
        <w:topLinePunct w:val="0"/>
        <w:bidi w:val="0"/>
        <w:spacing w:line="360" w:lineRule="auto"/>
        <w:ind w:firstLine="480" w:firstLineChars="200"/>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2、项目名称：</w:t>
      </w:r>
      <w:r>
        <w:rPr>
          <w:rFonts w:hint="eastAsia" w:hAnsi="宋体" w:cs="宋体"/>
          <w:b w:val="0"/>
          <w:bCs w:val="0"/>
          <w:color w:val="auto"/>
          <w:highlight w:val="none"/>
          <w:lang w:val="en-US" w:eastAsia="zh-CN"/>
        </w:rPr>
        <w:t>姚家港化工特勤消防站项目监理单位采购</w:t>
      </w:r>
    </w:p>
    <w:p>
      <w:pPr>
        <w:pStyle w:val="31"/>
        <w:kinsoku/>
        <w:wordWrap/>
        <w:overflowPunct/>
        <w:topLinePunct w:val="0"/>
        <w:bidi w:val="0"/>
        <w:spacing w:line="360" w:lineRule="auto"/>
        <w:ind w:firstLine="480" w:firstLineChars="200"/>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3、监理范围：总建筑面积5444.36平方米，其中：新建业务用房建筑面积4036.16平方米（含气防站200平方米），新建训练塔建筑面积433平方米，新建门房建筑面积87.04平方米，新建室内球场建筑面积888.16平方米，容积率0.4，建筑占地面积2818.42平方米，建筑密度21%。</w:t>
      </w:r>
    </w:p>
    <w:p>
      <w:pPr>
        <w:pStyle w:val="31"/>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default" w:hAnsi="宋体" w:eastAsia="宋体" w:cs="宋体"/>
          <w:color w:val="auto"/>
          <w:highlight w:val="none"/>
          <w:lang w:val="en-US" w:eastAsia="zh-CN"/>
        </w:rPr>
      </w:pPr>
      <w:r>
        <w:rPr>
          <w:rFonts w:hint="eastAsia" w:ascii="宋体" w:hAnsi="宋体" w:eastAsia="宋体" w:cs="宋体"/>
          <w:b w:val="0"/>
          <w:bCs w:val="0"/>
          <w:color w:val="auto"/>
          <w:highlight w:val="none"/>
          <w:lang w:val="en-US" w:eastAsia="zh-CN"/>
        </w:rPr>
        <w:t>4、服务内容：</w:t>
      </w:r>
      <w:r>
        <w:rPr>
          <w:rFonts w:hint="eastAsia" w:hAnsi="宋体" w:eastAsia="宋体" w:cs="宋体"/>
          <w:color w:val="auto"/>
          <w:highlight w:val="none"/>
          <w:lang w:val="en-US" w:eastAsia="zh-CN"/>
        </w:rPr>
        <w:t>施工图设计范围内全部工程建设内容</w:t>
      </w:r>
      <w:r>
        <w:rPr>
          <w:rFonts w:hint="eastAsia" w:hAnsi="宋体" w:cs="宋体"/>
          <w:color w:val="auto"/>
          <w:highlight w:val="none"/>
          <w:lang w:val="en-US" w:eastAsia="zh-CN"/>
        </w:rPr>
        <w:t>（</w:t>
      </w:r>
      <w:r>
        <w:rPr>
          <w:rFonts w:hint="eastAsia" w:hAnsi="宋体" w:eastAsia="宋体" w:cs="宋体"/>
          <w:color w:val="auto"/>
          <w:highlight w:val="none"/>
          <w:lang w:val="en-US" w:eastAsia="zh-CN"/>
        </w:rPr>
        <w:t>具体以采购人及图纸为准</w:t>
      </w:r>
      <w:r>
        <w:rPr>
          <w:rFonts w:hint="eastAsia" w:hAnsi="宋体" w:cs="宋体"/>
          <w:color w:val="auto"/>
          <w:highlight w:val="none"/>
          <w:lang w:val="en-US" w:eastAsia="zh-CN"/>
        </w:rPr>
        <w:t>）</w:t>
      </w:r>
      <w:r>
        <w:rPr>
          <w:rFonts w:hint="eastAsia" w:hAnsi="宋体" w:eastAsia="宋体" w:cs="宋体"/>
          <w:color w:val="auto"/>
          <w:highlight w:val="none"/>
          <w:lang w:val="en-US" w:eastAsia="zh-CN"/>
        </w:rPr>
        <w:t>的施工阶段监理、保修阶段监理</w:t>
      </w:r>
      <w:r>
        <w:rPr>
          <w:rFonts w:hint="eastAsia" w:hAnsi="宋体" w:cs="宋体"/>
          <w:color w:val="auto"/>
          <w:highlight w:val="none"/>
          <w:lang w:eastAsia="zh-CN"/>
        </w:rPr>
        <w:t>、工程变更以及与上述项目相关的一切施工内容的全过程监理</w:t>
      </w:r>
      <w:r>
        <w:rPr>
          <w:rFonts w:hint="eastAsia" w:ascii="宋体" w:hAnsi="宋体" w:cs="宋体"/>
          <w:color w:val="auto"/>
          <w:sz w:val="24"/>
          <w:szCs w:val="24"/>
          <w:highlight w:val="none"/>
        </w:rPr>
        <w:t>（协助前期施工准备和后期项目审计等）</w:t>
      </w:r>
      <w:r>
        <w:rPr>
          <w:rFonts w:hint="eastAsia" w:hAnsi="宋体" w:eastAsia="宋体" w:cs="宋体"/>
          <w:color w:val="auto"/>
          <w:highlight w:val="none"/>
          <w:lang w:val="en-US" w:eastAsia="zh-CN"/>
        </w:rPr>
        <w:t>。</w:t>
      </w:r>
    </w:p>
    <w:p>
      <w:pPr>
        <w:pStyle w:val="31"/>
        <w:kinsoku/>
        <w:wordWrap/>
        <w:overflowPunct/>
        <w:topLinePunct w:val="0"/>
        <w:bidi w:val="0"/>
        <w:spacing w:line="360" w:lineRule="auto"/>
        <w:ind w:firstLine="480" w:firstLineChars="200"/>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5、采购控制价：</w:t>
      </w:r>
      <w:r>
        <w:rPr>
          <w:rFonts w:hint="eastAsia" w:hAnsi="宋体" w:cs="宋体"/>
          <w:b w:val="0"/>
          <w:bCs w:val="0"/>
          <w:color w:val="auto"/>
          <w:highlight w:val="none"/>
          <w:lang w:val="en-US" w:eastAsia="zh-CN"/>
        </w:rPr>
        <w:t>21</w:t>
      </w:r>
      <w:r>
        <w:rPr>
          <w:rFonts w:hint="eastAsia" w:ascii="宋体" w:hAnsi="宋体" w:eastAsia="宋体" w:cs="宋体"/>
          <w:b w:val="0"/>
          <w:bCs w:val="0"/>
          <w:color w:val="auto"/>
          <w:highlight w:val="none"/>
          <w:lang w:val="en-US" w:eastAsia="zh-CN"/>
        </w:rPr>
        <w:t>万元</w:t>
      </w:r>
    </w:p>
    <w:p>
      <w:pPr>
        <w:pStyle w:val="31"/>
        <w:kinsoku/>
        <w:wordWrap/>
        <w:overflowPunct/>
        <w:topLinePunct w:val="0"/>
        <w:bidi w:val="0"/>
        <w:spacing w:line="360" w:lineRule="auto"/>
        <w:ind w:firstLine="480" w:firstLineChars="200"/>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6、质量控制目标：同施工合同质量要求。</w:t>
      </w:r>
    </w:p>
    <w:p>
      <w:pPr>
        <w:pStyle w:val="31"/>
        <w:kinsoku/>
        <w:wordWrap/>
        <w:overflowPunct/>
        <w:topLinePunct w:val="0"/>
        <w:bidi w:val="0"/>
        <w:spacing w:line="360" w:lineRule="auto"/>
        <w:ind w:firstLine="480" w:firstLineChars="200"/>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7、工期控制目标：同施工合同工期要求。</w:t>
      </w:r>
    </w:p>
    <w:p>
      <w:pPr>
        <w:pStyle w:val="31"/>
        <w:kinsoku/>
        <w:wordWrap/>
        <w:overflowPunct/>
        <w:topLinePunct w:val="0"/>
        <w:bidi w:val="0"/>
        <w:spacing w:line="360" w:lineRule="auto"/>
        <w:ind w:firstLine="480" w:firstLineChars="200"/>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8、安全生产控制目标：</w:t>
      </w:r>
      <w:r>
        <w:rPr>
          <w:rFonts w:hint="eastAsia" w:hAnsi="宋体" w:cs="宋体"/>
          <w:b w:val="0"/>
          <w:bCs w:val="0"/>
          <w:color w:val="auto"/>
          <w:highlight w:val="none"/>
          <w:lang w:val="en-US" w:eastAsia="zh-CN"/>
        </w:rPr>
        <w:t>达到《建筑施工安全检查标准》（JGJ59-2011）合格标准，避免发生安全事故。</w:t>
      </w:r>
    </w:p>
    <w:p>
      <w:pPr>
        <w:pStyle w:val="31"/>
        <w:kinsoku/>
        <w:wordWrap/>
        <w:overflowPunct/>
        <w:topLinePunct w:val="0"/>
        <w:bidi w:val="0"/>
        <w:spacing w:line="360" w:lineRule="auto"/>
        <w:ind w:firstLine="480" w:firstLineChars="200"/>
        <w:rPr>
          <w:rFonts w:hint="eastAsia" w:ascii="宋体" w:hAnsi="宋体" w:eastAsia="宋体" w:cs="宋体"/>
          <w:color w:val="auto"/>
          <w:highlight w:val="none"/>
          <w:lang w:val="en-US" w:eastAsia="zh-CN"/>
        </w:rPr>
      </w:pPr>
      <w:r>
        <w:rPr>
          <w:rFonts w:hint="eastAsia" w:ascii="宋体" w:hAnsi="宋体" w:eastAsia="宋体" w:cs="宋体"/>
          <w:b w:val="0"/>
          <w:bCs w:val="0"/>
          <w:color w:val="auto"/>
          <w:highlight w:val="none"/>
          <w:lang w:val="en-US" w:eastAsia="zh-CN"/>
        </w:rPr>
        <w:t>9、计划监理与相关服务期：</w:t>
      </w:r>
      <w:r>
        <w:rPr>
          <w:rFonts w:hint="eastAsia" w:ascii="宋体" w:hAnsi="宋体" w:cs="宋体"/>
          <w:color w:val="auto"/>
          <w:sz w:val="24"/>
          <w:szCs w:val="24"/>
          <w:highlight w:val="none"/>
        </w:rPr>
        <w:t>施工阶段监理服务期为</w:t>
      </w:r>
      <w:r>
        <w:rPr>
          <w:rFonts w:hint="eastAsia" w:ascii="宋体" w:hAnsi="宋体" w:cs="宋体"/>
          <w:color w:val="auto"/>
          <w:sz w:val="24"/>
          <w:szCs w:val="24"/>
          <w:highlight w:val="none"/>
          <w:lang w:eastAsia="zh-CN"/>
        </w:rPr>
        <w:t>实际</w:t>
      </w:r>
      <w:r>
        <w:rPr>
          <w:rFonts w:hint="eastAsia" w:ascii="宋体" w:hAnsi="宋体" w:cs="宋体"/>
          <w:color w:val="auto"/>
          <w:sz w:val="24"/>
          <w:szCs w:val="24"/>
          <w:highlight w:val="none"/>
        </w:rPr>
        <w:t>施工工期的基础上再</w:t>
      </w:r>
      <w:r>
        <w:rPr>
          <w:rFonts w:hint="eastAsia" w:ascii="宋体" w:hAnsi="宋体" w:eastAsia="宋体" w:cs="宋体"/>
          <w:color w:val="auto"/>
          <w:highlight w:val="none"/>
          <w:lang w:eastAsia="zh-CN"/>
        </w:rPr>
        <w:t>增加60天；保修阶段监理服务期为工程竣工验收合格后</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eastAsia="zh-CN"/>
        </w:rPr>
        <w:t>年。</w:t>
      </w:r>
    </w:p>
    <w:p>
      <w:pPr>
        <w:pStyle w:val="31"/>
        <w:kinsoku/>
        <w:wordWrap/>
        <w:overflowPunct/>
        <w:topLinePunct w:val="0"/>
        <w:bidi w:val="0"/>
        <w:spacing w:line="360" w:lineRule="auto"/>
        <w:ind w:firstLine="48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二、付款方式：</w:t>
      </w:r>
      <w:bookmarkEnd w:id="105"/>
      <w:bookmarkEnd w:id="106"/>
    </w:p>
    <w:p>
      <w:pPr>
        <w:pStyle w:val="31"/>
        <w:kinsoku/>
        <w:wordWrap/>
        <w:overflowPunct/>
        <w:topLinePunct w:val="0"/>
        <w:bidi w:val="0"/>
        <w:spacing w:line="360" w:lineRule="auto"/>
        <w:ind w:firstLine="48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本项目实行分期付款，经</w:t>
      </w:r>
      <w:r>
        <w:rPr>
          <w:rFonts w:hint="eastAsia" w:ascii="宋体" w:hAnsi="宋体" w:eastAsia="宋体" w:cs="宋体"/>
          <w:color w:val="auto"/>
          <w:highlight w:val="none"/>
          <w:lang w:val="en-US" w:eastAsia="zh-CN"/>
        </w:rPr>
        <w:t>业主</w:t>
      </w:r>
      <w:r>
        <w:rPr>
          <w:rFonts w:hint="eastAsia" w:ascii="宋体" w:hAnsi="宋体" w:eastAsia="宋体" w:cs="宋体"/>
          <w:color w:val="auto"/>
          <w:highlight w:val="none"/>
          <w:lang w:eastAsia="zh-CN"/>
        </w:rPr>
        <w:t>认可后，按每季度支付合同金额的</w:t>
      </w:r>
      <w:r>
        <w:rPr>
          <w:rFonts w:hint="eastAsia" w:ascii="宋体" w:hAnsi="宋体" w:eastAsia="宋体" w:cs="宋体"/>
          <w:color w:val="auto"/>
          <w:highlight w:val="none"/>
          <w:lang w:val="en-US" w:eastAsia="zh-CN"/>
        </w:rPr>
        <w:t>20%</w:t>
      </w:r>
      <w:r>
        <w:rPr>
          <w:rFonts w:hint="eastAsia" w:ascii="宋体" w:hAnsi="宋体" w:eastAsia="宋体" w:cs="宋体"/>
          <w:color w:val="auto"/>
          <w:highlight w:val="none"/>
          <w:lang w:eastAsia="zh-CN"/>
        </w:rPr>
        <w:t>，支付金额达到合同总金额的</w:t>
      </w:r>
      <w:r>
        <w:rPr>
          <w:rFonts w:hint="eastAsia" w:hAnsi="宋体" w:cs="宋体"/>
          <w:color w:val="auto"/>
          <w:highlight w:val="none"/>
          <w:lang w:val="en-US" w:eastAsia="zh-CN"/>
        </w:rPr>
        <w:t>6</w:t>
      </w:r>
      <w:r>
        <w:rPr>
          <w:rFonts w:hint="eastAsia" w:ascii="宋体" w:hAnsi="宋体" w:eastAsia="宋体" w:cs="宋体"/>
          <w:color w:val="auto"/>
          <w:highlight w:val="none"/>
          <w:lang w:val="en-US" w:eastAsia="zh-CN"/>
        </w:rPr>
        <w:t>0</w:t>
      </w:r>
      <w:r>
        <w:rPr>
          <w:rFonts w:hint="eastAsia" w:ascii="宋体" w:hAnsi="宋体" w:eastAsia="宋体" w:cs="宋体"/>
          <w:color w:val="auto"/>
          <w:highlight w:val="none"/>
          <w:lang w:eastAsia="zh-CN"/>
        </w:rPr>
        <w:t>%后停止支付，工程竣工验收合格交付使用后向监理单位支付至合同总金额的</w:t>
      </w:r>
      <w:r>
        <w:rPr>
          <w:rFonts w:hint="eastAsia" w:hAnsi="宋体" w:cs="宋体"/>
          <w:color w:val="auto"/>
          <w:highlight w:val="none"/>
          <w:lang w:val="en-US" w:eastAsia="zh-CN"/>
        </w:rPr>
        <w:t>7</w:t>
      </w:r>
      <w:r>
        <w:rPr>
          <w:rFonts w:hint="eastAsia" w:ascii="宋体" w:hAnsi="宋体" w:eastAsia="宋体" w:cs="宋体"/>
          <w:color w:val="auto"/>
          <w:highlight w:val="none"/>
          <w:lang w:val="en-US" w:eastAsia="zh-CN"/>
        </w:rPr>
        <w:t>0</w:t>
      </w:r>
      <w:r>
        <w:rPr>
          <w:rFonts w:hint="eastAsia" w:ascii="宋体" w:hAnsi="宋体" w:eastAsia="宋体" w:cs="宋体"/>
          <w:color w:val="auto"/>
          <w:highlight w:val="none"/>
          <w:lang w:eastAsia="zh-CN"/>
        </w:rPr>
        <w:t>%，</w:t>
      </w:r>
      <w:r>
        <w:rPr>
          <w:rFonts w:hint="eastAsia" w:hAnsi="宋体" w:cs="宋体"/>
          <w:color w:val="auto"/>
          <w:highlight w:val="none"/>
          <w:lang w:val="en-US" w:eastAsia="zh-CN"/>
        </w:rPr>
        <w:t>监理</w:t>
      </w:r>
      <w:r>
        <w:rPr>
          <w:rFonts w:hint="eastAsia" w:ascii="宋体" w:hAnsi="宋体" w:eastAsia="宋体" w:cs="宋体"/>
          <w:color w:val="auto"/>
          <w:highlight w:val="none"/>
          <w:lang w:eastAsia="zh-CN"/>
        </w:rPr>
        <w:t>项目审计结算等资料后付款至合同总金额的</w:t>
      </w:r>
      <w:r>
        <w:rPr>
          <w:rFonts w:hint="eastAsia" w:ascii="宋体" w:hAnsi="宋体" w:eastAsia="宋体" w:cs="宋体"/>
          <w:color w:val="auto"/>
          <w:highlight w:val="none"/>
          <w:lang w:val="en-US" w:eastAsia="zh-CN"/>
        </w:rPr>
        <w:t>97</w:t>
      </w:r>
      <w:r>
        <w:rPr>
          <w:rFonts w:hint="eastAsia" w:ascii="宋体" w:hAnsi="宋体" w:eastAsia="宋体" w:cs="宋体"/>
          <w:color w:val="auto"/>
          <w:highlight w:val="none"/>
          <w:lang w:eastAsia="zh-CN"/>
        </w:rPr>
        <w:t>%，余款在工程保修阶段监理服务期满后一次性支付。本工程保修阶段监理服务收费</w:t>
      </w:r>
      <w:r>
        <w:rPr>
          <w:rFonts w:hint="eastAsia" w:hAnsi="宋体" w:cs="宋体"/>
          <w:color w:val="auto"/>
          <w:highlight w:val="none"/>
          <w:lang w:eastAsia="zh-CN"/>
        </w:rPr>
        <w:t>已</w:t>
      </w:r>
      <w:r>
        <w:rPr>
          <w:rFonts w:hint="eastAsia" w:ascii="宋体" w:hAnsi="宋体" w:eastAsia="宋体" w:cs="宋体"/>
          <w:color w:val="auto"/>
          <w:highlight w:val="none"/>
          <w:lang w:eastAsia="zh-CN"/>
        </w:rPr>
        <w:t>包含在施工监理服务收费中，不再另行支付。上述付款方式采用现金或银行保兑（商业汇票）方式付款，以上未付款项均不计利息。</w:t>
      </w:r>
    </w:p>
    <w:p>
      <w:pPr>
        <w:pStyle w:val="41"/>
        <w:numPr>
          <w:ilvl w:val="0"/>
          <w:numId w:val="2"/>
        </w:numPr>
        <w:spacing w:line="500" w:lineRule="exact"/>
        <w:ind w:firstLine="482" w:firstLineChars="200"/>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 xml:space="preserve">其它要求（供应商必须就以下几项做出承诺，未按要求承诺的将作废标处理） </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一</w:t>
      </w: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人员要求</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eastAsia="宋体" w:cs="宋体"/>
          <w:b w:val="0"/>
          <w:bCs w:val="0"/>
          <w:color w:val="auto"/>
          <w:kern w:val="0"/>
          <w:sz w:val="24"/>
          <w:szCs w:val="24"/>
          <w:highlight w:val="none"/>
          <w:shd w:val="clear" w:color="auto" w:fill="auto"/>
          <w:lang w:val="en-US" w:eastAsia="zh-CN" w:bidi="ar-SA"/>
        </w:rPr>
        <w:t xml:space="preserve"> （1）本项目不允许监理人更换项目总监及主要监理管理人员。除特殊情况（死亡、病重、离职）。若发生监理人擅自更换（死亡、病重、离职除外）时，委托人有权单方解除合同，因此造成的一切损失由监理人承担。因离职更换总监应承担叁万元/人次的违约金，其他人员离职参照以上程序执行，承担壹万元/人次的违约金。</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eastAsia="宋体" w:cs="宋体"/>
          <w:b w:val="0"/>
          <w:bCs w:val="0"/>
          <w:color w:val="auto"/>
          <w:kern w:val="0"/>
          <w:sz w:val="24"/>
          <w:szCs w:val="24"/>
          <w:highlight w:val="none"/>
          <w:shd w:val="clear" w:color="auto" w:fill="auto"/>
          <w:lang w:val="en-US" w:eastAsia="zh-CN" w:bidi="ar-SA"/>
        </w:rPr>
        <w:t>（2）若项目总监等相关人员因死亡、病重、离职不能到岗的，确需更换，需报甲方批准后执行，新更换的总监理工程师及其他关键岗位管理人员的专业能力、职业资格等级必须与原管理人员相当或高于。乙方更换人员必须提前7天以书面形式通知甲方，并将拟更换的总监理工程师及其他关键岗位管理人员个人资料一并上报，经甲方面试合格、书面同意后方可更换。若未经允许发生更换时甲方直接扣除乙方合同总价的5%。总监理工程师、项目管理负责人月驻工地时间不低于22天。在项目实施期间，总监理工程师、项目管理负责人及其他关键岗位人员必须按投标承诺全部到位且实行考勤打卡，其人员不接受刷卡考勤的视为缺勤。缺勤时，招标人按以下标准扣除：总监理工程师1000元/天，专业监理工程师800元/天，监理员500元/天。</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eastAsia="宋体" w:cs="宋体"/>
          <w:b w:val="0"/>
          <w:bCs w:val="0"/>
          <w:color w:val="auto"/>
          <w:kern w:val="0"/>
          <w:sz w:val="24"/>
          <w:szCs w:val="24"/>
          <w:highlight w:val="none"/>
          <w:shd w:val="clear" w:color="auto" w:fill="auto"/>
          <w:lang w:val="en-US" w:eastAsia="zh-CN" w:bidi="ar-SA"/>
        </w:rPr>
        <w:t>（3）由委托人组织的工程会议或每周工地例会，项目总监必须出席（经委托人批准除外），每缺席一次按贰仟元/次从合同价款中扣除，委托人将作好记录，在监理费用中扣除。</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eastAsia="宋体" w:cs="宋体"/>
          <w:b w:val="0"/>
          <w:bCs w:val="0"/>
          <w:color w:val="auto"/>
          <w:kern w:val="0"/>
          <w:sz w:val="24"/>
          <w:szCs w:val="24"/>
          <w:highlight w:val="none"/>
          <w:shd w:val="clear" w:color="auto" w:fill="auto"/>
          <w:lang w:val="en-US" w:eastAsia="zh-CN" w:bidi="ar-SA"/>
        </w:rPr>
        <w:t>（4）若项目总监或现场主要监理人员的实际工作能力和工作表现不适应现场工作需要，委托人有权向监理人提出撤换。监理人可以提出整改意见，如委托人不予接受，则监理人必须在 7天内无条件撤换，所调换人员的资质、资历、学历、职称、业绩、实际工作能力不得低于原投标书中所承诺人员的综合素质，并扣除监理费（总监两万元/人、其他人员伍仟元/人），委托人将作好记录，在监理费用中扣除。</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eastAsia="宋体" w:cs="宋体"/>
          <w:b w:val="0"/>
          <w:bCs w:val="0"/>
          <w:color w:val="auto"/>
          <w:kern w:val="0"/>
          <w:sz w:val="24"/>
          <w:szCs w:val="24"/>
          <w:highlight w:val="none"/>
          <w:shd w:val="clear" w:color="auto" w:fill="auto"/>
          <w:lang w:val="en-US" w:eastAsia="zh-CN" w:bidi="ar-SA"/>
        </w:rPr>
        <w:t>（5）为加强施工现场的管理力度，对于工程施工中出现的违章、违规、违反合同约定的现象及质量问题，在委托人发现问题而监理人未采取措施并二次重复出现相同问题，按次处以监理单位伍仟元的罚款。</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二</w:t>
      </w: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 xml:space="preserve">监理人用于本工程的检测设备(用于本工程的检测设备仪器一览表)必须按投标文件承诺执行，否则委托人视其设备未到位情况给予贰万元处罚。 </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三</w:t>
      </w: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监理人必须确保在所有单项工程的施工作业面上凡有施工行为时，现场监理必须全时段在场，且随时保证能在 15分钟内到达委托人指定的施工现场。否则，每次处以贰仟元罚金。</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四</w:t>
      </w: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监理人员必须严格执行廉政纪律，违反下列条款者委托人将责令监理人撤换监理人员，并给予监理人叁万元处罚；</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eastAsia="宋体" w:cs="宋体"/>
          <w:b w:val="0"/>
          <w:bCs w:val="0"/>
          <w:color w:val="auto"/>
          <w:kern w:val="0"/>
          <w:sz w:val="24"/>
          <w:szCs w:val="24"/>
          <w:highlight w:val="none"/>
          <w:shd w:val="clear" w:color="auto" w:fill="auto"/>
          <w:lang w:val="en-US" w:eastAsia="zh-CN" w:bidi="ar-SA"/>
        </w:rPr>
        <w:t>1、监理人员不得接受施工单位的任何宴请或礼金；</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eastAsia="宋体" w:cs="宋体"/>
          <w:b w:val="0"/>
          <w:bCs w:val="0"/>
          <w:color w:val="auto"/>
          <w:kern w:val="0"/>
          <w:sz w:val="24"/>
          <w:szCs w:val="24"/>
          <w:highlight w:val="none"/>
          <w:shd w:val="clear" w:color="auto" w:fill="auto"/>
          <w:lang w:val="en-US" w:eastAsia="zh-CN" w:bidi="ar-SA"/>
        </w:rPr>
        <w:t>2、监理人员不得向施工单位介绍劳务队、供应商、机械设备等业务；</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eastAsia="宋体" w:cs="宋体"/>
          <w:b w:val="0"/>
          <w:bCs w:val="0"/>
          <w:color w:val="auto"/>
          <w:kern w:val="0"/>
          <w:sz w:val="24"/>
          <w:szCs w:val="24"/>
          <w:highlight w:val="none"/>
          <w:shd w:val="clear" w:color="auto" w:fill="auto"/>
          <w:lang w:val="en-US" w:eastAsia="zh-CN" w:bidi="ar-SA"/>
        </w:rPr>
        <w:t>3、监理人员不得介绍亲朋好友到施工单位工作；</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eastAsia="宋体" w:cs="宋体"/>
          <w:b w:val="0"/>
          <w:bCs w:val="0"/>
          <w:color w:val="auto"/>
          <w:kern w:val="0"/>
          <w:sz w:val="24"/>
          <w:szCs w:val="24"/>
          <w:highlight w:val="none"/>
          <w:shd w:val="clear" w:color="auto" w:fill="auto"/>
          <w:lang w:val="en-US" w:eastAsia="zh-CN" w:bidi="ar-SA"/>
        </w:rPr>
        <w:t>4、监理人员不得向施工单位施加其他可能违背监理公正性、严肃性的影响。</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五</w:t>
      </w: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保修期间责任：保修期内工程出现质量问题，监理人应在接到委托人通知后 8小时以内派人到现场进行监理（紧急情况应当立即到达抢修现场），否则委托人可以委托他人监理，由此产生的费用从合同价款中扣除，不足部分委托人向监理人追偿。</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六</w:t>
      </w: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监理人因更换人员或违反合同约定产生的扣款、罚金，均在监理费中扣除。</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七</w:t>
      </w: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因分期施工导致监理期限延长的，不再支付监理服务费。</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八</w:t>
      </w: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 xml:space="preserve">办公用房、办公用品由监理人自理。 </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九</w:t>
      </w: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 xml:space="preserve">在委托的工程范围内，委托人或承包人对对方的任何意见和要求（包括索赔要求），均必须首先向监理机构提出，由监理机构研究处置意见，再同双方协商确定。当委托人和承包人发生争议时，监理机构应根据自己的职能，以独立的身份判断，公正地进行调解。当双方的争议由政府建设行政主管部门调解或仲裁机构仲裁时，应当提供作证的事实材料。 </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十</w:t>
      </w: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监理人的责任期即委托监理合同有效期。在监理过程中，如果因工程建设进度的推迟或延误而超过书面约定的日期，双方应进一步约定相应延长的合同期，并不再增加任何费用。</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十</w:t>
      </w:r>
      <w:r>
        <w:rPr>
          <w:rFonts w:hint="eastAsia" w:ascii="宋体" w:hAnsi="宋体" w:cs="宋体"/>
          <w:b w:val="0"/>
          <w:bCs w:val="0"/>
          <w:color w:val="auto"/>
          <w:kern w:val="0"/>
          <w:sz w:val="24"/>
          <w:szCs w:val="24"/>
          <w:highlight w:val="none"/>
          <w:shd w:val="clear" w:color="auto" w:fill="auto"/>
          <w:lang w:val="en-US" w:eastAsia="zh-CN" w:bidi="ar-SA"/>
        </w:rPr>
        <w:t>一）</w:t>
      </w:r>
      <w:r>
        <w:rPr>
          <w:rFonts w:hint="eastAsia" w:ascii="宋体" w:hAnsi="宋体" w:eastAsia="宋体" w:cs="宋体"/>
          <w:b w:val="0"/>
          <w:bCs w:val="0"/>
          <w:color w:val="auto"/>
          <w:kern w:val="0"/>
          <w:sz w:val="24"/>
          <w:szCs w:val="24"/>
          <w:highlight w:val="none"/>
          <w:shd w:val="clear" w:color="auto" w:fill="auto"/>
          <w:lang w:val="en-US" w:eastAsia="zh-CN" w:bidi="ar-SA"/>
        </w:rPr>
        <w:t xml:space="preserve">监理人在责任期内，应当履行约定的义务。如果因监理人过失而造成了委托人的经济损失，应当向委托人赔偿相应损失。 </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十</w:t>
      </w:r>
      <w:r>
        <w:rPr>
          <w:rFonts w:hint="eastAsia" w:ascii="宋体" w:hAnsi="宋体" w:cs="宋体"/>
          <w:b w:val="0"/>
          <w:bCs w:val="0"/>
          <w:color w:val="auto"/>
          <w:kern w:val="0"/>
          <w:sz w:val="24"/>
          <w:szCs w:val="24"/>
          <w:highlight w:val="none"/>
          <w:shd w:val="clear" w:color="auto" w:fill="auto"/>
          <w:lang w:val="en-US" w:eastAsia="zh-CN" w:bidi="ar-SA"/>
        </w:rPr>
        <w:t>二）</w:t>
      </w:r>
      <w:r>
        <w:rPr>
          <w:rFonts w:hint="eastAsia" w:ascii="宋体" w:hAnsi="宋体" w:eastAsia="宋体" w:cs="宋体"/>
          <w:b w:val="0"/>
          <w:bCs w:val="0"/>
          <w:color w:val="auto"/>
          <w:kern w:val="0"/>
          <w:sz w:val="24"/>
          <w:szCs w:val="24"/>
          <w:highlight w:val="none"/>
          <w:shd w:val="clear" w:color="auto" w:fill="auto"/>
          <w:lang w:val="en-US" w:eastAsia="zh-CN" w:bidi="ar-SA"/>
        </w:rPr>
        <w:t>投标人在建设单位工程师进行的日常质量安全检查中，被发现存在安全隐患的，投标人应限期改正。若同样问题被发现2次的或累计类似问题被发现3次，投标人必须承担一般违约责任1次；此类问题的认定，以工程师书面通知、指令、通报和会议纪要为准。</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cs="宋体"/>
          <w:b w:val="0"/>
          <w:bCs w:val="0"/>
          <w:color w:val="auto"/>
          <w:kern w:val="0"/>
          <w:sz w:val="24"/>
          <w:szCs w:val="24"/>
          <w:highlight w:val="none"/>
          <w:shd w:val="clear" w:color="auto" w:fill="auto"/>
          <w:lang w:val="en-US" w:eastAsia="zh-CN" w:bidi="ar-SA"/>
        </w:rPr>
        <w:t>（</w:t>
      </w:r>
      <w:r>
        <w:rPr>
          <w:rFonts w:hint="eastAsia" w:ascii="宋体" w:hAnsi="宋体" w:eastAsia="宋体" w:cs="宋体"/>
          <w:b w:val="0"/>
          <w:bCs w:val="0"/>
          <w:color w:val="auto"/>
          <w:kern w:val="0"/>
          <w:sz w:val="24"/>
          <w:szCs w:val="24"/>
          <w:highlight w:val="none"/>
          <w:shd w:val="clear" w:color="auto" w:fill="auto"/>
          <w:lang w:val="en-US" w:eastAsia="zh-CN" w:bidi="ar-SA"/>
        </w:rPr>
        <w:t>十</w:t>
      </w:r>
      <w:r>
        <w:rPr>
          <w:rFonts w:hint="eastAsia" w:ascii="宋体" w:hAnsi="宋体" w:cs="宋体"/>
          <w:b w:val="0"/>
          <w:bCs w:val="0"/>
          <w:color w:val="auto"/>
          <w:kern w:val="0"/>
          <w:sz w:val="24"/>
          <w:szCs w:val="24"/>
          <w:highlight w:val="none"/>
          <w:shd w:val="clear" w:color="auto" w:fill="auto"/>
          <w:lang w:val="en-US" w:eastAsia="zh-CN" w:bidi="ar-SA"/>
        </w:rPr>
        <w:t>三）</w:t>
      </w:r>
      <w:r>
        <w:rPr>
          <w:rFonts w:hint="eastAsia" w:ascii="宋体" w:hAnsi="宋体" w:eastAsia="宋体" w:cs="宋体"/>
          <w:b w:val="0"/>
          <w:bCs w:val="0"/>
          <w:color w:val="auto"/>
          <w:kern w:val="0"/>
          <w:sz w:val="24"/>
          <w:szCs w:val="24"/>
          <w:highlight w:val="none"/>
          <w:shd w:val="clear" w:color="auto" w:fill="auto"/>
          <w:lang w:val="en-US" w:eastAsia="zh-CN" w:bidi="ar-SA"/>
        </w:rPr>
        <w:t>监理人必须无条件接受建设单位定期组织的考核，每期进度款支付与建设单位组织的考核结果相挂钩，若考核达不到要求，主动接受相应的扣款、清退等考核结果。</w:t>
      </w:r>
    </w:p>
    <w:p>
      <w:pPr>
        <w:pStyle w:val="41"/>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default" w:ascii="宋体" w:hAnsi="宋体" w:eastAsia="宋体" w:cs="宋体"/>
          <w:b w:val="0"/>
          <w:bCs w:val="0"/>
          <w:color w:val="auto"/>
          <w:kern w:val="0"/>
          <w:sz w:val="24"/>
          <w:szCs w:val="24"/>
          <w:highlight w:val="none"/>
          <w:shd w:val="clear" w:color="auto" w:fill="auto"/>
          <w:lang w:val="en-US" w:eastAsia="zh-CN" w:bidi="ar-SA"/>
        </w:rPr>
      </w:pPr>
      <w:r>
        <w:rPr>
          <w:rFonts w:hint="eastAsia" w:ascii="宋体" w:hAnsi="宋体" w:eastAsia="宋体" w:cs="宋体"/>
          <w:b w:val="0"/>
          <w:bCs w:val="0"/>
          <w:color w:val="auto"/>
          <w:kern w:val="0"/>
          <w:sz w:val="24"/>
          <w:szCs w:val="24"/>
          <w:highlight w:val="none"/>
          <w:shd w:val="clear" w:color="auto" w:fill="auto"/>
          <w:lang w:val="en-US" w:eastAsia="zh-CN" w:bidi="ar-SA"/>
        </w:rPr>
        <w:t>(十四)在项目实施过程中，遇到关键节点，总监理工程师</w:t>
      </w:r>
      <w:r>
        <w:rPr>
          <w:rFonts w:hint="eastAsia" w:ascii="宋体" w:hAnsi="宋体" w:cs="宋体"/>
          <w:b w:val="0"/>
          <w:bCs w:val="0"/>
          <w:color w:val="auto"/>
          <w:kern w:val="0"/>
          <w:sz w:val="24"/>
          <w:szCs w:val="24"/>
          <w:highlight w:val="none"/>
          <w:shd w:val="clear" w:color="auto" w:fill="auto"/>
          <w:lang w:val="en-US" w:eastAsia="zh-CN" w:bidi="ar-SA"/>
        </w:rPr>
        <w:t>必须在场，</w:t>
      </w:r>
      <w:r>
        <w:rPr>
          <w:rFonts w:hint="eastAsia" w:ascii="宋体" w:hAnsi="宋体" w:eastAsia="宋体" w:cs="宋体"/>
          <w:b w:val="0"/>
          <w:bCs w:val="0"/>
          <w:color w:val="auto"/>
          <w:kern w:val="0"/>
          <w:sz w:val="24"/>
          <w:szCs w:val="24"/>
          <w:highlight w:val="none"/>
          <w:shd w:val="clear" w:color="auto" w:fill="auto"/>
          <w:lang w:val="en-US" w:eastAsia="zh-CN" w:bidi="ar-SA"/>
        </w:rPr>
        <w:t>离开施工场地不能及时到场的，总监理工程师应委派代表代行其职责，也可以授权</w:t>
      </w:r>
      <w:r>
        <w:rPr>
          <w:rFonts w:hint="eastAsia" w:ascii="宋体" w:hAnsi="宋体" w:cs="宋体"/>
          <w:b w:val="0"/>
          <w:bCs w:val="0"/>
          <w:color w:val="auto"/>
          <w:kern w:val="0"/>
          <w:sz w:val="24"/>
          <w:szCs w:val="24"/>
          <w:highlight w:val="none"/>
          <w:shd w:val="clear" w:color="auto" w:fill="auto"/>
          <w:lang w:val="en-US" w:eastAsia="zh-CN" w:bidi="ar-SA"/>
        </w:rPr>
        <w:t>代表</w:t>
      </w:r>
      <w:r>
        <w:rPr>
          <w:rFonts w:hint="eastAsia" w:ascii="宋体" w:hAnsi="宋体" w:eastAsia="宋体" w:cs="宋体"/>
          <w:b w:val="0"/>
          <w:bCs w:val="0"/>
          <w:color w:val="auto"/>
          <w:kern w:val="0"/>
          <w:sz w:val="24"/>
          <w:szCs w:val="24"/>
          <w:highlight w:val="none"/>
          <w:shd w:val="clear" w:color="auto" w:fill="auto"/>
          <w:lang w:val="en-US" w:eastAsia="zh-CN" w:bidi="ar-SA"/>
        </w:rPr>
        <w:t>负责执行其指派的一项或多项监理工作</w:t>
      </w:r>
      <w:r>
        <w:rPr>
          <w:rFonts w:hint="eastAsia" w:ascii="宋体" w:hAnsi="宋体" w:cs="宋体"/>
          <w:b w:val="0"/>
          <w:bCs w:val="0"/>
          <w:color w:val="auto"/>
          <w:kern w:val="0"/>
          <w:sz w:val="24"/>
          <w:szCs w:val="24"/>
          <w:highlight w:val="none"/>
          <w:shd w:val="clear" w:color="auto" w:fill="auto"/>
          <w:lang w:val="en-US" w:eastAsia="zh-CN" w:bidi="ar-SA"/>
        </w:rPr>
        <w:t>（总监代表不得由现场其他监理人员兼任且委派的总监代表必须为房屋建筑工程专业）</w:t>
      </w:r>
      <w:r>
        <w:rPr>
          <w:rFonts w:hint="eastAsia" w:ascii="宋体" w:hAnsi="宋体" w:eastAsia="宋体" w:cs="宋体"/>
          <w:b w:val="0"/>
          <w:bCs w:val="0"/>
          <w:color w:val="auto"/>
          <w:kern w:val="0"/>
          <w:sz w:val="24"/>
          <w:szCs w:val="24"/>
          <w:highlight w:val="none"/>
          <w:shd w:val="clear" w:color="auto" w:fill="auto"/>
          <w:lang w:val="en-US" w:eastAsia="zh-CN" w:bidi="ar-SA"/>
        </w:rPr>
        <w:t>。总监理工程师应将被授权</w:t>
      </w:r>
      <w:r>
        <w:rPr>
          <w:rFonts w:hint="eastAsia" w:ascii="宋体" w:hAnsi="宋体" w:cs="宋体"/>
          <w:b w:val="0"/>
          <w:bCs w:val="0"/>
          <w:color w:val="auto"/>
          <w:kern w:val="0"/>
          <w:sz w:val="24"/>
          <w:szCs w:val="24"/>
          <w:highlight w:val="none"/>
          <w:shd w:val="clear" w:color="auto" w:fill="auto"/>
          <w:lang w:val="en-US" w:eastAsia="zh-CN" w:bidi="ar-SA"/>
        </w:rPr>
        <w:t>的总监代表人</w:t>
      </w:r>
      <w:r>
        <w:rPr>
          <w:rFonts w:hint="eastAsia" w:ascii="宋体" w:hAnsi="宋体" w:eastAsia="宋体" w:cs="宋体"/>
          <w:b w:val="0"/>
          <w:bCs w:val="0"/>
          <w:color w:val="auto"/>
          <w:kern w:val="0"/>
          <w:sz w:val="24"/>
          <w:szCs w:val="24"/>
          <w:highlight w:val="none"/>
          <w:shd w:val="clear" w:color="auto" w:fill="auto"/>
          <w:lang w:val="en-US" w:eastAsia="zh-CN" w:bidi="ar-SA"/>
        </w:rPr>
        <w:t>员的姓名及其授权范围通知甲方。被授权的</w:t>
      </w:r>
      <w:r>
        <w:rPr>
          <w:rFonts w:hint="eastAsia" w:ascii="宋体" w:hAnsi="宋体" w:cs="宋体"/>
          <w:b w:val="0"/>
          <w:bCs w:val="0"/>
          <w:color w:val="auto"/>
          <w:kern w:val="0"/>
          <w:sz w:val="24"/>
          <w:szCs w:val="24"/>
          <w:highlight w:val="none"/>
          <w:shd w:val="clear" w:color="auto" w:fill="auto"/>
          <w:lang w:val="en-US" w:eastAsia="zh-CN" w:bidi="ar-SA"/>
        </w:rPr>
        <w:t>代表</w:t>
      </w:r>
      <w:r>
        <w:rPr>
          <w:rFonts w:hint="eastAsia" w:ascii="宋体" w:hAnsi="宋体" w:eastAsia="宋体" w:cs="宋体"/>
          <w:b w:val="0"/>
          <w:bCs w:val="0"/>
          <w:color w:val="auto"/>
          <w:kern w:val="0"/>
          <w:sz w:val="24"/>
          <w:szCs w:val="24"/>
          <w:highlight w:val="none"/>
          <w:shd w:val="clear" w:color="auto" w:fill="auto"/>
          <w:lang w:val="en-US" w:eastAsia="zh-CN" w:bidi="ar-SA"/>
        </w:rPr>
        <w:t>在授权范围内发出的指示视为已得到总监理工程师的同意，与总监理工程师发出的指示具有同等效力。总监理工程师撤销某项授权时，应将撤销授权的决定及时通知甲方。</w:t>
      </w:r>
    </w:p>
    <w:p>
      <w:pPr>
        <w:pStyle w:val="8"/>
        <w:kinsoku/>
        <w:wordWrap/>
        <w:overflowPunct/>
        <w:topLinePunct w:val="0"/>
        <w:bidi w:val="0"/>
        <w:spacing w:line="360" w:lineRule="auto"/>
        <w:jc w:val="center"/>
        <w:rPr>
          <w:rFonts w:hint="eastAsia" w:ascii="宋体" w:hAnsi="宋体" w:eastAsia="宋体" w:cs="宋体"/>
          <w:color w:val="auto"/>
          <w:highlight w:val="none"/>
        </w:rPr>
      </w:pPr>
      <w:bookmarkStart w:id="107" w:name="_Toc25937"/>
      <w:r>
        <w:rPr>
          <w:rFonts w:hint="eastAsia" w:ascii="宋体" w:hAnsi="宋体" w:eastAsia="宋体" w:cs="宋体"/>
          <w:color w:val="auto"/>
          <w:highlight w:val="none"/>
        </w:rPr>
        <w:t>第四章 磋商方法、步骤及标准</w:t>
      </w:r>
      <w:bookmarkEnd w:id="107"/>
    </w:p>
    <w:p>
      <w:pPr>
        <w:kinsoku/>
        <w:wordWrap/>
        <w:overflowPunct/>
        <w:topLinePunct w:val="0"/>
        <w:bidi w:val="0"/>
        <w:spacing w:line="360" w:lineRule="auto"/>
        <w:ind w:firstLine="404"/>
        <w:rPr>
          <w:rFonts w:hint="eastAsia" w:ascii="宋体" w:hAnsi="宋体" w:eastAsia="宋体" w:cs="宋体"/>
          <w:color w:val="auto"/>
          <w:highlight w:val="none"/>
        </w:rPr>
      </w:pPr>
      <w:bookmarkStart w:id="108" w:name="EB41fcb57fb45844bf9ae7e87f409d5b27"/>
      <w:r>
        <w:rPr>
          <w:rFonts w:hint="eastAsia" w:ascii="宋体" w:hAnsi="宋体" w:eastAsia="宋体" w:cs="宋体"/>
          <w:color w:val="auto"/>
          <w:sz w:val="44"/>
          <w:szCs w:val="44"/>
          <w:highlight w:val="none"/>
        </w:rPr>
        <w:t xml:space="preserve"> </w:t>
      </w:r>
      <w:bookmarkEnd w:id="108"/>
      <w:bookmarkStart w:id="109" w:name="EB0fb595c169c04d0fb0b2bbf69c75f3de"/>
      <w:r>
        <w:rPr>
          <w:rFonts w:hint="eastAsia" w:ascii="宋体" w:hAnsi="宋体" w:eastAsia="宋体" w:cs="宋体"/>
          <w:color w:val="auto"/>
          <w:sz w:val="20"/>
          <w:highlight w:val="none"/>
        </w:rPr>
        <w:t xml:space="preserve"> </w:t>
      </w:r>
      <w:bookmarkEnd w:id="109"/>
    </w:p>
    <w:p>
      <w:pPr>
        <w:pStyle w:val="10"/>
        <w:kinsoku/>
        <w:wordWrap/>
        <w:overflowPunct/>
        <w:topLinePunct w:val="0"/>
        <w:bidi w:val="0"/>
        <w:spacing w:line="360" w:lineRule="auto"/>
        <w:ind w:firstLine="480"/>
        <w:rPr>
          <w:rFonts w:hint="eastAsia" w:ascii="宋体" w:hAnsi="宋体" w:eastAsia="宋体" w:cs="宋体"/>
          <w:color w:val="auto"/>
          <w:szCs w:val="24"/>
          <w:highlight w:val="none"/>
        </w:rPr>
      </w:pPr>
      <w:bookmarkStart w:id="110" w:name="_Toc459227620"/>
      <w:bookmarkStart w:id="111" w:name="_Toc459297227"/>
      <w:bookmarkStart w:id="112" w:name="_Toc459227387"/>
      <w:bookmarkStart w:id="113" w:name="_Toc459223861"/>
      <w:bookmarkStart w:id="114" w:name="_Toc459226637"/>
      <w:r>
        <w:rPr>
          <w:rFonts w:hint="eastAsia" w:ascii="宋体" w:hAnsi="宋体" w:eastAsia="宋体" w:cs="宋体"/>
          <w:color w:val="auto"/>
          <w:szCs w:val="24"/>
          <w:highlight w:val="none"/>
        </w:rPr>
        <w:t>参照 《政府采购法》、《政府采购实施条例》、《政府采购竞争性磋商采购方式管理暂行办法》等相关规定确定以下磋商方法、步骤及标准。</w:t>
      </w:r>
    </w:p>
    <w:p>
      <w:pPr>
        <w:pStyle w:val="9"/>
        <w:kinsoku/>
        <w:wordWrap/>
        <w:overflowPunct/>
        <w:topLinePunct w:val="0"/>
        <w:bidi w:val="0"/>
        <w:spacing w:line="360" w:lineRule="auto"/>
        <w:rPr>
          <w:rFonts w:hint="eastAsia" w:ascii="宋体" w:hAnsi="宋体" w:eastAsia="宋体" w:cs="宋体"/>
          <w:color w:val="auto"/>
          <w:highlight w:val="none"/>
        </w:rPr>
      </w:pPr>
      <w:bookmarkStart w:id="115" w:name="_Toc28963"/>
      <w:bookmarkStart w:id="116" w:name="_Toc459227386"/>
      <w:bookmarkStart w:id="117" w:name="_Toc459226636"/>
      <w:bookmarkStart w:id="118" w:name="_Toc5284"/>
      <w:bookmarkStart w:id="119" w:name="_Toc5734"/>
      <w:bookmarkStart w:id="120" w:name="_Toc459227619"/>
      <w:bookmarkStart w:id="121" w:name="_Toc459297226"/>
      <w:bookmarkStart w:id="122" w:name="_Toc459223860"/>
      <w:r>
        <w:rPr>
          <w:rFonts w:hint="eastAsia" w:ascii="宋体" w:hAnsi="宋体" w:eastAsia="宋体" w:cs="宋体"/>
          <w:color w:val="auto"/>
          <w:highlight w:val="none"/>
        </w:rPr>
        <w:t>一、磋商步骤</w:t>
      </w:r>
      <w:bookmarkEnd w:id="115"/>
      <w:bookmarkEnd w:id="116"/>
      <w:bookmarkEnd w:id="117"/>
      <w:bookmarkEnd w:id="118"/>
      <w:bookmarkEnd w:id="119"/>
      <w:bookmarkEnd w:id="120"/>
      <w:bookmarkEnd w:id="121"/>
      <w:bookmarkEnd w:id="122"/>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磋商小组对响应文件的评审分为资格性检查和符合性检查、商务评议、技术评议和价格评议。</w:t>
      </w:r>
    </w:p>
    <w:p>
      <w:pPr>
        <w:pStyle w:val="10"/>
        <w:kinsoku/>
        <w:wordWrap/>
        <w:overflowPunct/>
        <w:topLinePunct w:val="0"/>
        <w:bidi w:val="0"/>
        <w:spacing w:line="360" w:lineRule="auto"/>
        <w:ind w:firstLine="56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（一）资格性和符合性检查</w:t>
      </w:r>
    </w:p>
    <w:p>
      <w:pPr>
        <w:pStyle w:val="10"/>
        <w:kinsoku/>
        <w:wordWrap/>
        <w:overflowPunct/>
        <w:topLinePunct w:val="0"/>
        <w:bidi w:val="0"/>
        <w:spacing w:line="360" w:lineRule="auto"/>
        <w:ind w:firstLine="48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1.磋商小组审查每份响应文件是否实质上响应了磋商文件的要求。磋商小组决定其是否响应只根据响应文件本身的内容，而不依据外部的证据，但响应文件有不真实不正确的内容时除外。</w:t>
      </w:r>
    </w:p>
    <w:p>
      <w:pPr>
        <w:pStyle w:val="10"/>
        <w:kinsoku/>
        <w:wordWrap/>
        <w:overflowPunct/>
        <w:topLinePunct w:val="0"/>
        <w:bidi w:val="0"/>
        <w:spacing w:line="360" w:lineRule="auto"/>
        <w:ind w:firstLine="480"/>
        <w:rPr>
          <w:rFonts w:hint="eastAsia" w:ascii="宋体" w:hAnsi="宋体" w:eastAsia="宋体" w:cs="宋体"/>
          <w:bCs/>
          <w:color w:val="auto"/>
          <w:sz w:val="28"/>
          <w:szCs w:val="28"/>
          <w:highlight w:val="none"/>
        </w:rPr>
      </w:pPr>
      <w:r>
        <w:rPr>
          <w:rFonts w:hint="eastAsia" w:ascii="宋体" w:hAnsi="宋体" w:eastAsia="宋体" w:cs="宋体"/>
          <w:bCs/>
          <w:color w:val="auto"/>
          <w:szCs w:val="24"/>
          <w:highlight w:val="none"/>
        </w:rPr>
        <w:t>2.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pStyle w:val="10"/>
        <w:kinsoku/>
        <w:wordWrap/>
        <w:overflowPunct/>
        <w:topLinePunct w:val="0"/>
        <w:bidi w:val="0"/>
        <w:spacing w:line="360" w:lineRule="auto"/>
        <w:ind w:firstLine="56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（二）供应商的澄清</w:t>
      </w:r>
    </w:p>
    <w:p>
      <w:pPr>
        <w:pStyle w:val="10"/>
        <w:kinsoku/>
        <w:wordWrap/>
        <w:overflowPunct/>
        <w:topLinePunct w:val="0"/>
        <w:bidi w:val="0"/>
        <w:spacing w:line="360" w:lineRule="auto"/>
        <w:ind w:firstLine="463" w:firstLineChars="193"/>
        <w:rPr>
          <w:rFonts w:hint="eastAsia" w:ascii="宋体" w:hAnsi="宋体" w:eastAsia="宋体" w:cs="宋体"/>
          <w:bCs/>
          <w:color w:val="auto"/>
          <w:sz w:val="28"/>
          <w:szCs w:val="28"/>
          <w:highlight w:val="none"/>
        </w:rPr>
      </w:pPr>
      <w:r>
        <w:rPr>
          <w:rFonts w:hint="eastAsia" w:ascii="宋体" w:hAnsi="宋体" w:eastAsia="宋体" w:cs="宋体"/>
          <w:bCs/>
          <w:color w:val="auto"/>
          <w:szCs w:val="24"/>
          <w:highlight w:val="none"/>
        </w:rPr>
        <w:t>磋商小组要求供应商澄清、说明或者更正响应文件将以书面形式作出。供应商的澄清、说明或者更正应当由法定代表人或其授权代表签字或者加盖公章。</w:t>
      </w:r>
    </w:p>
    <w:p>
      <w:pPr>
        <w:pStyle w:val="10"/>
        <w:kinsoku/>
        <w:wordWrap/>
        <w:overflowPunct/>
        <w:topLinePunct w:val="0"/>
        <w:bidi w:val="0"/>
        <w:spacing w:line="360" w:lineRule="auto"/>
        <w:ind w:firstLine="56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（三）磋商及最后报价</w:t>
      </w:r>
    </w:p>
    <w:p>
      <w:pPr>
        <w:pStyle w:val="10"/>
        <w:kinsoku/>
        <w:wordWrap/>
        <w:overflowPunct/>
        <w:topLinePunct w:val="0"/>
        <w:bidi w:val="0"/>
        <w:spacing w:line="360" w:lineRule="auto"/>
        <w:ind w:firstLine="48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1.磋商小组所有成员应当集中与单一供应商分别进行磋商，并按照响应文件递交的顺序给予所有参加磋商的供应商平等的磋商机会。</w:t>
      </w:r>
    </w:p>
    <w:p>
      <w:pPr>
        <w:pStyle w:val="10"/>
        <w:kinsoku/>
        <w:wordWrap/>
        <w:overflowPunct/>
        <w:topLinePunct w:val="0"/>
        <w:bidi w:val="0"/>
        <w:spacing w:line="360" w:lineRule="auto"/>
        <w:ind w:firstLine="48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2.在磋商过程中，磋商小组可以根据磋商文件和磋商情况实质性变动采购需求中的技术、服务要求以及合同草案条款，但不得变动磋商文件中的其他内容。实质性变动的内容，经采购人代表确认后，将作为磋商文件的有效组成部分，磋商小组应当及时以书面形式同时通知所有参加磋商的供应商。</w:t>
      </w:r>
    </w:p>
    <w:p>
      <w:pPr>
        <w:pStyle w:val="10"/>
        <w:kinsoku/>
        <w:wordWrap/>
        <w:overflowPunct/>
        <w:topLinePunct w:val="0"/>
        <w:bidi w:val="0"/>
        <w:spacing w:line="360" w:lineRule="auto"/>
        <w:ind w:firstLine="48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lang w:val="en-US" w:eastAsia="zh-CN"/>
        </w:rPr>
        <w:t>3</w:t>
      </w:r>
      <w:r>
        <w:rPr>
          <w:rFonts w:hint="eastAsia" w:ascii="宋体" w:hAnsi="宋体" w:eastAsia="宋体" w:cs="宋体"/>
          <w:bCs/>
          <w:color w:val="auto"/>
          <w:szCs w:val="24"/>
          <w:highlight w:val="none"/>
        </w:rPr>
        <w:t>.磋商结束后，磋商小组将要求所有实质性响应的供应商在规定时间内</w:t>
      </w:r>
      <w:r>
        <w:rPr>
          <w:rFonts w:hint="eastAsia" w:ascii="宋体" w:hAnsi="宋体" w:eastAsia="宋体" w:cs="宋体"/>
          <w:bCs/>
          <w:color w:val="auto"/>
          <w:szCs w:val="24"/>
          <w:highlight w:val="none"/>
          <w:lang w:eastAsia="zh-CN"/>
        </w:rPr>
        <w:t>进行</w:t>
      </w:r>
      <w:r>
        <w:rPr>
          <w:rFonts w:hint="eastAsia" w:ascii="宋体" w:hAnsi="宋体" w:eastAsia="宋体" w:cs="宋体"/>
          <w:bCs/>
          <w:color w:val="auto"/>
          <w:szCs w:val="24"/>
          <w:highlight w:val="none"/>
        </w:rPr>
        <w:t>最后报价，最后报价是供应商响应文件的有效组成部分。</w:t>
      </w:r>
      <w:r>
        <w:rPr>
          <w:rFonts w:hint="eastAsia" w:ascii="宋体" w:hAnsi="宋体" w:eastAsia="宋体" w:cs="宋体"/>
          <w:color w:val="auto"/>
          <w:szCs w:val="24"/>
          <w:highlight w:val="none"/>
        </w:rPr>
        <w:t>第一轮报价不得超过本项目预算金额，第二轮报价不得超过第一轮报价，第三轮报价（若有）不得超过第二轮报价。</w:t>
      </w:r>
    </w:p>
    <w:p>
      <w:pPr>
        <w:pStyle w:val="10"/>
        <w:kinsoku/>
        <w:wordWrap/>
        <w:overflowPunct/>
        <w:topLinePunct w:val="0"/>
        <w:bidi w:val="0"/>
        <w:spacing w:line="360" w:lineRule="auto"/>
        <w:ind w:firstLine="48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未实质性响应磋商文件的响应文件按无效响应处理，磋商小组应及时告知该供应商，不再进行最后报价和进入详细评审。</w:t>
      </w:r>
    </w:p>
    <w:p>
      <w:pPr>
        <w:pStyle w:val="10"/>
        <w:kinsoku/>
        <w:wordWrap/>
        <w:overflowPunct/>
        <w:topLinePunct w:val="0"/>
        <w:bidi w:val="0"/>
        <w:spacing w:line="360" w:lineRule="auto"/>
        <w:ind w:firstLine="56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（四）详细评审</w:t>
      </w:r>
    </w:p>
    <w:p>
      <w:pPr>
        <w:pStyle w:val="10"/>
        <w:kinsoku/>
        <w:wordWrap/>
        <w:overflowPunct/>
        <w:topLinePunct w:val="0"/>
        <w:bidi w:val="0"/>
        <w:spacing w:line="360" w:lineRule="auto"/>
        <w:ind w:firstLine="48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1.经磋商确定最终采购需求和提交最后报价的供应商后，由磋商小组采用综合评分法对提交最后报价的供应商的响应文件和最后报价进行综合评分。具体详见“评审标准”。</w:t>
      </w:r>
    </w:p>
    <w:p>
      <w:pPr>
        <w:pStyle w:val="10"/>
        <w:kinsoku/>
        <w:wordWrap/>
        <w:overflowPunct/>
        <w:topLinePunct w:val="0"/>
        <w:bidi w:val="0"/>
        <w:spacing w:line="360" w:lineRule="auto"/>
        <w:ind w:firstLine="480"/>
        <w:rPr>
          <w:rFonts w:hint="eastAsia" w:ascii="宋体" w:hAnsi="宋体" w:eastAsia="宋体" w:cs="宋体"/>
          <w:bCs/>
          <w:color w:val="auto"/>
          <w:sz w:val="28"/>
          <w:szCs w:val="28"/>
          <w:highlight w:val="none"/>
        </w:rPr>
      </w:pPr>
      <w:r>
        <w:rPr>
          <w:rFonts w:hint="eastAsia" w:ascii="宋体" w:hAnsi="宋体" w:eastAsia="宋体" w:cs="宋体"/>
          <w:bCs/>
          <w:color w:val="auto"/>
          <w:szCs w:val="24"/>
          <w:highlight w:val="none"/>
        </w:rPr>
        <w:t>2.评审时，磋商小组各成员应当独立对每个有效响应的文件进行评价、打分，然后汇总每个供应商每项评分因素的得分。</w:t>
      </w:r>
    </w:p>
    <w:p>
      <w:pPr>
        <w:pStyle w:val="10"/>
        <w:kinsoku/>
        <w:wordWrap/>
        <w:overflowPunct/>
        <w:topLinePunct w:val="0"/>
        <w:bidi w:val="0"/>
        <w:spacing w:line="360" w:lineRule="auto"/>
        <w:ind w:firstLine="56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（五）计分办法</w:t>
      </w:r>
    </w:p>
    <w:p>
      <w:pPr>
        <w:pStyle w:val="10"/>
        <w:kinsoku/>
        <w:wordWrap/>
        <w:overflowPunct/>
        <w:topLinePunct w:val="0"/>
        <w:bidi w:val="0"/>
        <w:spacing w:line="360" w:lineRule="auto"/>
        <w:ind w:firstLine="480"/>
        <w:rPr>
          <w:rFonts w:hint="eastAsia" w:ascii="宋体" w:hAnsi="宋体" w:eastAsia="宋体" w:cs="宋体"/>
          <w:bCs/>
          <w:color w:val="auto"/>
          <w:kern w:val="0"/>
          <w:szCs w:val="24"/>
          <w:highlight w:val="none"/>
        </w:rPr>
      </w:pPr>
      <w:r>
        <w:rPr>
          <w:rFonts w:hint="eastAsia" w:ascii="宋体" w:hAnsi="宋体" w:eastAsia="宋体" w:cs="宋体"/>
          <w:bCs/>
          <w:color w:val="auto"/>
          <w:kern w:val="0"/>
          <w:szCs w:val="24"/>
          <w:highlight w:val="none"/>
        </w:rPr>
        <w:t>1.各供应商的最终得分为所有磋商小组成员所评定分数的算术平均值。</w:t>
      </w:r>
    </w:p>
    <w:p>
      <w:pPr>
        <w:pStyle w:val="10"/>
        <w:kinsoku/>
        <w:wordWrap/>
        <w:overflowPunct/>
        <w:topLinePunct w:val="0"/>
        <w:bidi w:val="0"/>
        <w:spacing w:line="360" w:lineRule="auto"/>
        <w:ind w:firstLine="480"/>
        <w:rPr>
          <w:rFonts w:hint="eastAsia" w:ascii="宋体" w:hAnsi="宋体" w:eastAsia="宋体" w:cs="宋体"/>
          <w:bCs/>
          <w:color w:val="auto"/>
          <w:kern w:val="0"/>
          <w:szCs w:val="24"/>
          <w:highlight w:val="none"/>
        </w:rPr>
      </w:pPr>
      <w:r>
        <w:rPr>
          <w:rFonts w:hint="eastAsia" w:ascii="宋体" w:hAnsi="宋体" w:eastAsia="宋体" w:cs="宋体"/>
          <w:bCs/>
          <w:color w:val="auto"/>
          <w:kern w:val="0"/>
          <w:szCs w:val="24"/>
          <w:highlight w:val="none"/>
        </w:rPr>
        <w:t>2.采购代理机构负责对各磋商小组成员的总分进行复核和汇总。各项统计结果均精确到小数点后两位。</w:t>
      </w:r>
    </w:p>
    <w:p>
      <w:pPr>
        <w:pStyle w:val="10"/>
        <w:kinsoku/>
        <w:wordWrap/>
        <w:overflowPunct/>
        <w:topLinePunct w:val="0"/>
        <w:bidi w:val="0"/>
        <w:spacing w:line="360" w:lineRule="auto"/>
        <w:ind w:firstLine="480"/>
        <w:rPr>
          <w:rFonts w:hint="eastAsia" w:ascii="宋体" w:hAnsi="宋体" w:eastAsia="宋体" w:cs="宋体"/>
          <w:bCs/>
          <w:color w:val="auto"/>
          <w:kern w:val="0"/>
          <w:sz w:val="28"/>
          <w:szCs w:val="28"/>
          <w:highlight w:val="none"/>
        </w:rPr>
      </w:pPr>
      <w:r>
        <w:rPr>
          <w:rFonts w:hint="eastAsia" w:ascii="宋体" w:hAnsi="宋体" w:eastAsia="宋体" w:cs="宋体"/>
          <w:bCs/>
          <w:color w:val="auto"/>
          <w:kern w:val="0"/>
          <w:szCs w:val="24"/>
          <w:highlight w:val="none"/>
        </w:rPr>
        <w:t xml:space="preserve">3.评审过程中，不得去掉最后报价中的最高报价和最低报价。 </w:t>
      </w:r>
    </w:p>
    <w:p>
      <w:pPr>
        <w:pStyle w:val="10"/>
        <w:kinsoku/>
        <w:wordWrap/>
        <w:overflowPunct/>
        <w:topLinePunct w:val="0"/>
        <w:bidi w:val="0"/>
        <w:spacing w:line="360" w:lineRule="auto"/>
        <w:ind w:firstLine="560"/>
        <w:rPr>
          <w:rFonts w:hint="eastAsia" w:ascii="宋体" w:hAnsi="宋体" w:eastAsia="宋体" w:cs="宋体"/>
          <w:bCs/>
          <w:color w:val="auto"/>
          <w:kern w:val="0"/>
          <w:sz w:val="28"/>
          <w:szCs w:val="28"/>
          <w:highlight w:val="none"/>
        </w:rPr>
      </w:pPr>
      <w:r>
        <w:rPr>
          <w:rFonts w:hint="eastAsia" w:ascii="宋体" w:hAnsi="宋体" w:eastAsia="宋体" w:cs="宋体"/>
          <w:bCs/>
          <w:color w:val="auto"/>
          <w:kern w:val="0"/>
          <w:sz w:val="28"/>
          <w:szCs w:val="28"/>
          <w:highlight w:val="none"/>
        </w:rPr>
        <w:t>（六）推荐成交候选人</w:t>
      </w:r>
    </w:p>
    <w:p>
      <w:pPr>
        <w:pStyle w:val="10"/>
        <w:keepNext w:val="0"/>
        <w:keepLines w:val="0"/>
        <w:pageBreakBefore w:val="0"/>
        <w:kinsoku/>
        <w:wordWrap w:val="0"/>
        <w:overflowPunct/>
        <w:topLinePunct w:val="0"/>
        <w:autoSpaceDE/>
        <w:autoSpaceDN/>
        <w:bidi w:val="0"/>
        <w:adjustRightInd/>
        <w:snapToGrid/>
        <w:spacing w:line="360" w:lineRule="auto"/>
        <w:ind w:firstLine="480"/>
        <w:textAlignment w:val="auto"/>
        <w:rPr>
          <w:rFonts w:hint="eastAsia" w:ascii="宋体" w:hAnsi="宋体" w:eastAsia="宋体" w:cs="宋体"/>
          <w:bCs/>
          <w:color w:val="auto"/>
          <w:kern w:val="0"/>
          <w:szCs w:val="24"/>
          <w:highlight w:val="none"/>
        </w:rPr>
      </w:pPr>
      <w:r>
        <w:rPr>
          <w:rFonts w:hint="eastAsia" w:ascii="宋体" w:hAnsi="宋体" w:eastAsia="宋体" w:cs="宋体"/>
          <w:bCs/>
          <w:color w:val="auto"/>
          <w:kern w:val="0"/>
          <w:szCs w:val="24"/>
          <w:highlight w:val="none"/>
        </w:rPr>
        <w:t>磋商小组应当根据综合评分情况，按照评审得分由高到低顺序（评审得分相同的，按照最后报价由低到高的顺序确定，评审得分且最后报价相同的，按照技术指标优劣顺序确定）推荐3名成交候选供应商（法律规定可以推荐2家成交候选供应商的情形除外），并编写评审报告。</w:t>
      </w:r>
    </w:p>
    <w:p>
      <w:pPr>
        <w:pStyle w:val="9"/>
        <w:keepNext w:val="0"/>
        <w:keepLines w:val="0"/>
        <w:pageBreakBefore w:val="0"/>
        <w:kinsoku/>
        <w:wordWrap w:val="0"/>
        <w:overflowPunct/>
        <w:topLinePunct w:val="0"/>
        <w:autoSpaceDE/>
        <w:autoSpaceDN/>
        <w:bidi w:val="0"/>
        <w:adjustRightInd/>
        <w:snapToGrid/>
        <w:spacing w:line="360" w:lineRule="auto"/>
        <w:jc w:val="both"/>
        <w:textAlignment w:val="auto"/>
        <w:rPr>
          <w:rFonts w:hint="eastAsia" w:ascii="宋体" w:hAnsi="宋体" w:eastAsia="宋体" w:cs="宋体"/>
          <w:color w:val="auto"/>
          <w:highlight w:val="none"/>
        </w:rPr>
      </w:pPr>
      <w:bookmarkStart w:id="123" w:name="_Toc29764"/>
      <w:bookmarkStart w:id="124" w:name="_Toc24637"/>
      <w:bookmarkStart w:id="125" w:name="_Toc28747"/>
      <w:r>
        <w:rPr>
          <w:rFonts w:hint="eastAsia" w:ascii="宋体" w:hAnsi="宋体" w:eastAsia="宋体" w:cs="宋体"/>
          <w:color w:val="auto"/>
          <w:highlight w:val="none"/>
        </w:rPr>
        <w:t>二、磋商标准</w:t>
      </w:r>
      <w:bookmarkEnd w:id="110"/>
      <w:bookmarkEnd w:id="111"/>
      <w:bookmarkEnd w:id="112"/>
      <w:bookmarkEnd w:id="113"/>
      <w:bookmarkEnd w:id="114"/>
      <w:bookmarkEnd w:id="123"/>
      <w:bookmarkEnd w:id="124"/>
      <w:bookmarkEnd w:id="125"/>
      <w:bookmarkStart w:id="126" w:name="EB371ab37d13ec4b2892472ec720ac96bc"/>
    </w:p>
    <w:p>
      <w:pPr>
        <w:pStyle w:val="9"/>
        <w:keepNext w:val="0"/>
        <w:keepLines w:val="0"/>
        <w:pageBreakBefore w:val="0"/>
        <w:kinsoku/>
        <w:wordWrap w:val="0"/>
        <w:overflowPunct/>
        <w:topLinePunct w:val="0"/>
        <w:autoSpaceDE/>
        <w:autoSpaceDN/>
        <w:bidi w:val="0"/>
        <w:adjustRightInd/>
        <w:snapToGrid/>
        <w:spacing w:line="360" w:lineRule="auto"/>
        <w:jc w:val="both"/>
        <w:textAlignment w:val="auto"/>
        <w:rPr>
          <w:rFonts w:hint="eastAsia" w:ascii="宋体" w:hAnsi="宋体" w:eastAsia="宋体" w:cs="宋体"/>
          <w:color w:val="auto"/>
          <w:highlight w:val="none"/>
        </w:rPr>
      </w:pPr>
      <w:bookmarkStart w:id="127" w:name="_Toc14231"/>
      <w:bookmarkStart w:id="128" w:name="_Toc1225"/>
      <w:bookmarkStart w:id="129" w:name="_Toc26461"/>
      <w:r>
        <w:rPr>
          <w:rFonts w:hint="eastAsia" w:ascii="宋体" w:hAnsi="宋体" w:eastAsia="宋体" w:cs="宋体"/>
          <w:color w:val="auto"/>
          <w:highlight w:val="none"/>
        </w:rPr>
        <w:t>（一）资格和符合性审查内容及标准</w:t>
      </w:r>
      <w:bookmarkEnd w:id="127"/>
      <w:bookmarkEnd w:id="128"/>
      <w:bookmarkEnd w:id="129"/>
    </w:p>
    <w:tbl>
      <w:tblPr>
        <w:tblStyle w:val="17"/>
        <w:tblW w:w="9021" w:type="dxa"/>
        <w:tblInd w:w="0"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0" w:type="dxa"/>
          <w:left w:w="0" w:type="dxa"/>
          <w:bottom w:w="0" w:type="dxa"/>
          <w:right w:w="0" w:type="dxa"/>
        </w:tblCellMar>
      </w:tblPr>
      <w:tblGrid>
        <w:gridCol w:w="653"/>
        <w:gridCol w:w="1198"/>
        <w:gridCol w:w="2370"/>
        <w:gridCol w:w="4800"/>
      </w:tblGrid>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851" w:type="dxa"/>
            <w:gridSpan w:val="2"/>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val="0"/>
              <w:overflowPunct/>
              <w:topLinePunct w:val="0"/>
              <w:autoSpaceDE/>
              <w:autoSpaceDN/>
              <w:bidi w:val="0"/>
              <w:adjustRightInd/>
              <w:snapToGrid/>
              <w:spacing w:line="360" w:lineRule="exact"/>
              <w:jc w:val="center"/>
              <w:textAlignment w:val="auto"/>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序号</w:t>
            </w:r>
          </w:p>
        </w:tc>
        <w:tc>
          <w:tcPr>
            <w:tcW w:w="237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val="0"/>
              <w:overflowPunct/>
              <w:topLinePunct w:val="0"/>
              <w:autoSpaceDE/>
              <w:autoSpaceDN/>
              <w:bidi w:val="0"/>
              <w:adjustRightInd/>
              <w:snapToGrid/>
              <w:spacing w:line="360" w:lineRule="exact"/>
              <w:jc w:val="center"/>
              <w:textAlignment w:val="auto"/>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检查内容</w:t>
            </w:r>
          </w:p>
        </w:tc>
        <w:tc>
          <w:tcPr>
            <w:tcW w:w="480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val="0"/>
              <w:overflowPunct/>
              <w:topLinePunct w:val="0"/>
              <w:autoSpaceDE/>
              <w:autoSpaceDN/>
              <w:bidi w:val="0"/>
              <w:adjustRightInd/>
              <w:snapToGrid/>
              <w:spacing w:line="360" w:lineRule="exact"/>
              <w:jc w:val="center"/>
              <w:textAlignment w:val="auto"/>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检查标准</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653" w:type="dxa"/>
            <w:vMerge w:val="restart"/>
            <w:tcBorders>
              <w:top w:val="outset" w:color="auto" w:sz="6" w:space="0"/>
              <w:left w:val="outset" w:color="auto" w:sz="6" w:space="0"/>
              <w:right w:val="outset" w:color="auto" w:sz="6" w:space="0"/>
            </w:tcBorders>
            <w:noWrap w:val="0"/>
            <w:vAlign w:val="center"/>
          </w:tcPr>
          <w:p>
            <w:pPr>
              <w:keepNext w:val="0"/>
              <w:keepLines w:val="0"/>
              <w:pageBreakBefore w:val="0"/>
              <w:kinsoku/>
              <w:wordWrap w:val="0"/>
              <w:overflowPunct/>
              <w:topLinePunct w:val="0"/>
              <w:autoSpaceDE/>
              <w:autoSpaceDN/>
              <w:bidi w:val="0"/>
              <w:adjustRightInd/>
              <w:snapToGrid/>
              <w:spacing w:line="360" w:lineRule="exact"/>
              <w:jc w:val="left"/>
              <w:textAlignment w:val="auto"/>
              <w:rPr>
                <w:rFonts w:hint="eastAsia" w:ascii="宋体" w:hAnsi="宋体" w:eastAsia="宋体" w:cs="宋体"/>
                <w:color w:val="auto"/>
                <w:szCs w:val="24"/>
                <w:highlight w:val="none"/>
              </w:rPr>
            </w:pPr>
          </w:p>
        </w:tc>
        <w:tc>
          <w:tcPr>
            <w:tcW w:w="1198" w:type="dxa"/>
            <w:vMerge w:val="restart"/>
            <w:tcBorders>
              <w:top w:val="outset" w:color="auto" w:sz="6" w:space="0"/>
              <w:left w:val="outset" w:color="auto" w:sz="6" w:space="0"/>
              <w:right w:val="outset" w:color="auto" w:sz="6" w:space="0"/>
            </w:tcBorders>
            <w:noWrap w:val="0"/>
            <w:vAlign w:val="center"/>
          </w:tcPr>
          <w:p>
            <w:pPr>
              <w:keepNext w:val="0"/>
              <w:keepLines w:val="0"/>
              <w:pageBreakBefore w:val="0"/>
              <w:kinsoku/>
              <w:wordWrap w:val="0"/>
              <w:overflowPunct/>
              <w:topLinePunct w:val="0"/>
              <w:autoSpaceDE/>
              <w:autoSpaceDN/>
              <w:bidi w:val="0"/>
              <w:adjustRightInd/>
              <w:snapToGrid/>
              <w:spacing w:line="360" w:lineRule="exact"/>
              <w:jc w:val="center"/>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资</w:t>
            </w:r>
          </w:p>
          <w:p>
            <w:pPr>
              <w:keepNext w:val="0"/>
              <w:keepLines w:val="0"/>
              <w:pageBreakBefore w:val="0"/>
              <w:kinsoku/>
              <w:wordWrap w:val="0"/>
              <w:overflowPunct/>
              <w:topLinePunct w:val="0"/>
              <w:autoSpaceDE/>
              <w:autoSpaceDN/>
              <w:bidi w:val="0"/>
              <w:adjustRightInd/>
              <w:snapToGrid/>
              <w:spacing w:line="360" w:lineRule="exact"/>
              <w:jc w:val="center"/>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格</w:t>
            </w:r>
          </w:p>
          <w:p>
            <w:pPr>
              <w:keepNext w:val="0"/>
              <w:keepLines w:val="0"/>
              <w:pageBreakBefore w:val="0"/>
              <w:kinsoku/>
              <w:wordWrap w:val="0"/>
              <w:overflowPunct/>
              <w:topLinePunct w:val="0"/>
              <w:autoSpaceDE/>
              <w:autoSpaceDN/>
              <w:bidi w:val="0"/>
              <w:adjustRightInd/>
              <w:snapToGrid/>
              <w:spacing w:line="360" w:lineRule="exact"/>
              <w:jc w:val="center"/>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审</w:t>
            </w:r>
          </w:p>
          <w:p>
            <w:pPr>
              <w:keepNext w:val="0"/>
              <w:keepLines w:val="0"/>
              <w:pageBreakBefore w:val="0"/>
              <w:kinsoku/>
              <w:wordWrap w:val="0"/>
              <w:overflowPunct/>
              <w:topLinePunct w:val="0"/>
              <w:autoSpaceDE/>
              <w:autoSpaceDN/>
              <w:bidi w:val="0"/>
              <w:adjustRightInd/>
              <w:snapToGrid/>
              <w:spacing w:line="360" w:lineRule="exact"/>
              <w:jc w:val="center"/>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查</w:t>
            </w:r>
          </w:p>
        </w:tc>
        <w:tc>
          <w:tcPr>
            <w:tcW w:w="237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val="0"/>
              <w:overflowPunct/>
              <w:topLinePunct w:val="0"/>
              <w:autoSpaceDE/>
              <w:autoSpaceDN/>
              <w:bidi w:val="0"/>
              <w:adjustRightInd/>
              <w:snapToGrid/>
              <w:spacing w:line="360" w:lineRule="exact"/>
              <w:jc w:val="left"/>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营业执照</w:t>
            </w:r>
          </w:p>
        </w:tc>
        <w:tc>
          <w:tcPr>
            <w:tcW w:w="480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val="0"/>
              <w:overflowPunct/>
              <w:topLinePunct w:val="0"/>
              <w:autoSpaceDE/>
              <w:autoSpaceDN/>
              <w:bidi w:val="0"/>
              <w:adjustRightInd/>
              <w:snapToGrid/>
              <w:spacing w:line="300" w:lineRule="exact"/>
              <w:textAlignment w:val="auto"/>
              <w:rPr>
                <w:rFonts w:hint="eastAsia" w:ascii="宋体" w:hAnsi="宋体" w:eastAsia="宋体" w:cs="宋体"/>
                <w:color w:val="auto"/>
                <w:szCs w:val="24"/>
                <w:highlight w:val="none"/>
              </w:rPr>
            </w:pPr>
            <w:r>
              <w:rPr>
                <w:rFonts w:hint="eastAsia" w:ascii="宋体" w:hAnsi="宋体" w:eastAsia="宋体" w:cs="宋体"/>
                <w:color w:val="auto"/>
                <w:highlight w:val="none"/>
                <w:lang w:val="en-US" w:eastAsia="zh-CN"/>
              </w:rPr>
              <w:t>供应商具有行政主管部门核发的有效法人营业执照，具有合法经营资格且能满足本项目采购要求。不得以分公司名义进行磋商，响应文件的单位盖章必须使用其法人公章，分公司盖章无效；（提供有效营业执照原件复印件并加盖公章）</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525" w:hRule="atLeast"/>
        </w:trPr>
        <w:tc>
          <w:tcPr>
            <w:tcW w:w="653" w:type="dxa"/>
            <w:vMerge w:val="continue"/>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val="0"/>
              <w:overflowPunct/>
              <w:topLinePunct w:val="0"/>
              <w:autoSpaceDE/>
              <w:autoSpaceDN/>
              <w:bidi w:val="0"/>
              <w:adjustRightInd/>
              <w:snapToGrid/>
              <w:spacing w:line="300" w:lineRule="exact"/>
              <w:jc w:val="left"/>
              <w:textAlignment w:val="auto"/>
              <w:rPr>
                <w:rFonts w:hint="eastAsia" w:ascii="宋体" w:hAnsi="宋体" w:eastAsia="宋体" w:cs="宋体"/>
                <w:color w:val="auto"/>
                <w:szCs w:val="24"/>
                <w:highlight w:val="none"/>
              </w:rPr>
            </w:pPr>
          </w:p>
        </w:tc>
        <w:tc>
          <w:tcPr>
            <w:tcW w:w="1198" w:type="dxa"/>
            <w:vMerge w:val="continue"/>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val="0"/>
              <w:overflowPunct/>
              <w:topLinePunct w:val="0"/>
              <w:autoSpaceDE/>
              <w:autoSpaceDN/>
              <w:bidi w:val="0"/>
              <w:adjustRightInd/>
              <w:snapToGrid/>
              <w:spacing w:line="300" w:lineRule="exact"/>
              <w:jc w:val="left"/>
              <w:textAlignment w:val="auto"/>
              <w:rPr>
                <w:rFonts w:hint="eastAsia" w:ascii="宋体" w:hAnsi="宋体" w:eastAsia="宋体" w:cs="宋体"/>
                <w:color w:val="auto"/>
                <w:szCs w:val="24"/>
                <w:highlight w:val="none"/>
              </w:rPr>
            </w:pPr>
          </w:p>
        </w:tc>
        <w:tc>
          <w:tcPr>
            <w:tcW w:w="237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val="0"/>
              <w:overflowPunct/>
              <w:topLinePunct w:val="0"/>
              <w:autoSpaceDE/>
              <w:autoSpaceDN/>
              <w:bidi w:val="0"/>
              <w:adjustRightInd/>
              <w:snapToGrid/>
              <w:spacing w:line="300" w:lineRule="exact"/>
              <w:jc w:val="left"/>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信用记录</w:t>
            </w:r>
          </w:p>
        </w:tc>
        <w:tc>
          <w:tcPr>
            <w:tcW w:w="480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val="0"/>
              <w:overflowPunct/>
              <w:topLinePunct w:val="0"/>
              <w:autoSpaceDE/>
              <w:autoSpaceDN/>
              <w:bidi w:val="0"/>
              <w:adjustRightInd/>
              <w:snapToGrid/>
              <w:spacing w:line="300" w:lineRule="exact"/>
              <w:jc w:val="left"/>
              <w:textAlignment w:val="auto"/>
              <w:rPr>
                <w:rFonts w:hint="eastAsia" w:ascii="宋体" w:hAnsi="宋体" w:eastAsia="宋体" w:cs="宋体"/>
                <w:color w:val="auto"/>
                <w:szCs w:val="24"/>
                <w:highlight w:val="none"/>
              </w:rPr>
            </w:pPr>
            <w:r>
              <w:rPr>
                <w:rFonts w:hint="eastAsia" w:ascii="宋体" w:hAnsi="宋体" w:eastAsia="宋体" w:cs="宋体"/>
                <w:color w:val="auto"/>
                <w:sz w:val="24"/>
                <w:szCs w:val="24"/>
                <w:highlight w:val="none"/>
                <w:lang w:val="en-US" w:eastAsia="zh-CN"/>
              </w:rPr>
              <w:t>响应文件截止时间当天,“信用中国”网站、中国政府采购网查询，供应商未被列入信用记录失信被执行人、重大税收违法案件当事人名单、政府采购严重违法失信行为记录名单。</w:t>
            </w:r>
            <w:r>
              <w:rPr>
                <w:rFonts w:hint="eastAsia" w:ascii="宋体" w:hAnsi="宋体" w:eastAsia="宋体" w:cs="宋体"/>
                <w:b/>
                <w:bCs/>
                <w:color w:val="auto"/>
                <w:szCs w:val="24"/>
                <w:highlight w:val="none"/>
              </w:rPr>
              <w:t>（提供上述网站查询结果网页打印件并加盖供应商公章）</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653" w:type="dxa"/>
            <w:vMerge w:val="continue"/>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szCs w:val="24"/>
                <w:highlight w:val="none"/>
              </w:rPr>
            </w:pPr>
          </w:p>
        </w:tc>
        <w:tc>
          <w:tcPr>
            <w:tcW w:w="1198" w:type="dxa"/>
            <w:vMerge w:val="continue"/>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szCs w:val="24"/>
                <w:highlight w:val="none"/>
              </w:rPr>
            </w:pPr>
          </w:p>
        </w:tc>
        <w:tc>
          <w:tcPr>
            <w:tcW w:w="237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eastAsia="zh-CN"/>
              </w:rPr>
              <w:t>资质证书</w:t>
            </w:r>
          </w:p>
        </w:tc>
        <w:tc>
          <w:tcPr>
            <w:tcW w:w="4800" w:type="dxa"/>
            <w:tcBorders>
              <w:top w:val="outset" w:color="auto" w:sz="6" w:space="0"/>
              <w:left w:val="outset" w:color="auto" w:sz="6" w:space="0"/>
              <w:bottom w:val="outset" w:color="auto" w:sz="6" w:space="0"/>
              <w:right w:val="outset" w:color="auto" w:sz="6" w:space="0"/>
            </w:tcBorders>
            <w:noWrap w:val="0"/>
            <w:vAlign w:val="center"/>
          </w:tcPr>
          <w:p>
            <w:pPr>
              <w:pStyle w:val="31"/>
              <w:keepNext w:val="0"/>
              <w:keepLines w:val="0"/>
              <w:pageBreakBefore w:val="0"/>
              <w:kinsoku/>
              <w:wordWrap/>
              <w:overflowPunct/>
              <w:topLinePunct w:val="0"/>
              <w:autoSpaceDE/>
              <w:autoSpaceDN/>
              <w:bidi w:val="0"/>
              <w:adjustRightInd/>
              <w:snapToGrid/>
              <w:spacing w:line="300" w:lineRule="exact"/>
              <w:textAlignment w:val="auto"/>
              <w:rPr>
                <w:rFonts w:hint="eastAsia" w:ascii="宋体" w:hAnsi="宋体" w:eastAsia="宋体" w:cs="宋体"/>
                <w:color w:val="auto"/>
                <w:szCs w:val="24"/>
                <w:highlight w:val="none"/>
                <w:lang w:eastAsia="zh-CN"/>
              </w:rPr>
            </w:pPr>
            <w:r>
              <w:rPr>
                <w:rFonts w:hint="eastAsia" w:hAnsi="宋体" w:cs="宋体"/>
                <w:color w:val="auto"/>
                <w:highlight w:val="none"/>
                <w:lang w:eastAsia="zh-CN"/>
              </w:rPr>
              <w:t>供应商需同时具备国家主管部门颁发的工程监理综合资质或房屋建筑工程监理乙级及以上资质。</w:t>
            </w:r>
            <w:r>
              <w:rPr>
                <w:rFonts w:hint="eastAsia" w:ascii="宋体" w:hAnsi="宋体" w:eastAsia="宋体" w:cs="宋体"/>
                <w:color w:val="auto"/>
                <w:highlight w:val="none"/>
                <w:lang w:eastAsia="zh-CN"/>
              </w:rPr>
              <w:t>（提供</w:t>
            </w:r>
            <w:r>
              <w:rPr>
                <w:rFonts w:hint="eastAsia" w:hAnsi="宋体" w:eastAsia="宋体" w:cs="宋体"/>
                <w:color w:val="auto"/>
                <w:highlight w:val="none"/>
                <w:lang w:eastAsia="zh-CN"/>
              </w:rPr>
              <w:t>资质证书</w:t>
            </w:r>
            <w:r>
              <w:rPr>
                <w:rFonts w:hint="eastAsia" w:ascii="宋体" w:hAnsi="宋体" w:eastAsia="宋体" w:cs="宋体"/>
                <w:color w:val="auto"/>
                <w:highlight w:val="none"/>
                <w:lang w:eastAsia="zh-CN"/>
              </w:rPr>
              <w:t>复印件</w:t>
            </w:r>
            <w:r>
              <w:rPr>
                <w:rFonts w:hint="eastAsia" w:hAnsi="宋体" w:eastAsia="宋体" w:cs="宋体"/>
                <w:color w:val="auto"/>
                <w:highlight w:val="none"/>
                <w:lang w:eastAsia="zh-CN"/>
              </w:rPr>
              <w:t>加盖公章</w:t>
            </w:r>
            <w:r>
              <w:rPr>
                <w:rFonts w:hint="eastAsia" w:ascii="宋体" w:hAnsi="宋体" w:eastAsia="宋体" w:cs="宋体"/>
                <w:color w:val="auto"/>
                <w:highlight w:val="none"/>
                <w:lang w:eastAsia="zh-CN"/>
              </w:rPr>
              <w:t>）</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PrEx>
        <w:trPr>
          <w:trHeight w:val="90" w:hRule="atLeast"/>
        </w:trPr>
        <w:tc>
          <w:tcPr>
            <w:tcW w:w="653" w:type="dxa"/>
            <w:vMerge w:val="continue"/>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p>
        </w:tc>
        <w:tc>
          <w:tcPr>
            <w:tcW w:w="1198" w:type="dxa"/>
            <w:vMerge w:val="continue"/>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p>
        </w:tc>
        <w:tc>
          <w:tcPr>
            <w:tcW w:w="237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overflowPunct/>
              <w:topLinePunct w:val="0"/>
              <w:bidi w:val="0"/>
              <w:adjustRightInd/>
              <w:snapToGrid/>
              <w:spacing w:line="300" w:lineRule="exact"/>
              <w:jc w:val="left"/>
              <w:textAlignment w:val="auto"/>
              <w:rPr>
                <w:rFonts w:hint="eastAsia" w:ascii="宋体" w:hAnsi="宋体" w:eastAsia="宋体" w:cs="宋体"/>
                <w:bCs/>
                <w:color w:val="auto"/>
                <w:sz w:val="24"/>
                <w:szCs w:val="24"/>
                <w:highlight w:val="none"/>
                <w:lang w:eastAsia="zh-CN"/>
              </w:rPr>
            </w:pPr>
            <w:r>
              <w:rPr>
                <w:rFonts w:hint="eastAsia" w:ascii="宋体" w:hAnsi="宋体" w:cs="宋体"/>
                <w:bCs/>
                <w:color w:val="auto"/>
                <w:sz w:val="24"/>
                <w:szCs w:val="24"/>
                <w:highlight w:val="none"/>
                <w:lang w:eastAsia="zh-CN"/>
              </w:rPr>
              <w:t>项目人员</w:t>
            </w:r>
          </w:p>
        </w:tc>
        <w:tc>
          <w:tcPr>
            <w:tcW w:w="480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overflowPunct/>
              <w:topLinePunct w:val="0"/>
              <w:autoSpaceDE/>
              <w:autoSpaceDN/>
              <w:bidi w:val="0"/>
              <w:adjustRightInd/>
              <w:snapToGrid/>
              <w:spacing w:line="300" w:lineRule="exact"/>
              <w:jc w:val="left"/>
              <w:textAlignment w:val="auto"/>
              <w:rPr>
                <w:rFonts w:hint="eastAsia" w:ascii="宋体" w:hAnsi="宋体" w:cs="宋体"/>
                <w:bCs/>
                <w:color w:val="auto"/>
                <w:sz w:val="24"/>
                <w:szCs w:val="24"/>
                <w:highlight w:val="none"/>
              </w:rPr>
            </w:pPr>
            <w:r>
              <w:rPr>
                <w:rFonts w:hint="eastAsia" w:hAnsi="宋体" w:cs="宋体"/>
                <w:color w:val="auto"/>
                <w:highlight w:val="none"/>
                <w:lang w:eastAsia="zh-CN"/>
              </w:rPr>
              <w:t>供应商拟派本项目的监理机构人员（包括项目总监、专业监理工程师、</w:t>
            </w:r>
            <w:r>
              <w:rPr>
                <w:rFonts w:hint="eastAsia" w:hAnsi="宋体" w:cs="宋体"/>
                <w:color w:val="auto"/>
                <w:highlight w:val="none"/>
                <w:lang w:val="en-US" w:eastAsia="zh-CN"/>
              </w:rPr>
              <w:t>安全监理工程师、</w:t>
            </w:r>
            <w:r>
              <w:rPr>
                <w:rFonts w:hint="eastAsia" w:hAnsi="宋体" w:cs="宋体"/>
                <w:color w:val="auto"/>
                <w:highlight w:val="none"/>
                <w:lang w:eastAsia="zh-CN"/>
              </w:rPr>
              <w:t>监理员）总人数不少于</w:t>
            </w:r>
            <w:r>
              <w:rPr>
                <w:rFonts w:hint="eastAsia" w:hAnsi="宋体" w:cs="宋体"/>
                <w:color w:val="auto"/>
                <w:highlight w:val="none"/>
                <w:lang w:val="en-US" w:eastAsia="zh-CN"/>
              </w:rPr>
              <w:t>4</w:t>
            </w:r>
            <w:r>
              <w:rPr>
                <w:rFonts w:hint="eastAsia" w:hAnsi="宋体" w:cs="宋体"/>
                <w:color w:val="auto"/>
                <w:highlight w:val="none"/>
                <w:lang w:eastAsia="zh-CN"/>
              </w:rPr>
              <w:t>人（其中：项目总监1人，专业监理工程师不少于1人，</w:t>
            </w:r>
            <w:r>
              <w:rPr>
                <w:rFonts w:hint="eastAsia" w:hAnsi="宋体" w:cs="宋体"/>
                <w:color w:val="auto"/>
                <w:highlight w:val="none"/>
                <w:lang w:val="en-US" w:eastAsia="zh-CN"/>
              </w:rPr>
              <w:t>安全监理工程师不少于1人，</w:t>
            </w:r>
            <w:r>
              <w:rPr>
                <w:rFonts w:hint="eastAsia" w:hAnsi="宋体" w:cs="宋体"/>
                <w:color w:val="auto"/>
                <w:highlight w:val="none"/>
                <w:lang w:eastAsia="zh-CN"/>
              </w:rPr>
              <w:t>监理员不少于</w:t>
            </w:r>
            <w:r>
              <w:rPr>
                <w:rFonts w:hint="eastAsia" w:hAnsi="宋体" w:cs="宋体"/>
                <w:color w:val="auto"/>
                <w:highlight w:val="none"/>
                <w:lang w:val="en-US" w:eastAsia="zh-CN"/>
              </w:rPr>
              <w:t>1</w:t>
            </w:r>
            <w:r>
              <w:rPr>
                <w:rFonts w:hint="eastAsia" w:hAnsi="宋体" w:cs="宋体"/>
                <w:color w:val="auto"/>
                <w:highlight w:val="none"/>
                <w:lang w:eastAsia="zh-CN"/>
              </w:rPr>
              <w:t>人）。（若证书不在有效期内的，应由企业法人注册地的颁证部门（建设行政主管部门或行业协会）出具的文件或证明，并能如实反映上述考核内容。其中总监应取得国家注册监理工程师注册执业证书，且证书上记载的工作单位为该投标单位，专业为房屋建筑工程；专业监理工程师应取得国家注册监理工程师注册执业证书或《监理工程师培训教育证书》</w:t>
            </w:r>
            <w:r>
              <w:rPr>
                <w:rFonts w:hint="eastAsia" w:ascii="宋体" w:hAnsi="宋体" w:eastAsia="宋体" w:cs="宋体"/>
                <w:color w:val="auto"/>
                <w:highlight w:val="none"/>
                <w:lang w:eastAsia="zh-CN"/>
              </w:rPr>
              <w:t>（提供原件或复印件加盖公章）</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PrEx>
        <w:tc>
          <w:tcPr>
            <w:tcW w:w="653" w:type="dxa"/>
            <w:vMerge w:val="continue"/>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p>
        </w:tc>
        <w:tc>
          <w:tcPr>
            <w:tcW w:w="1198" w:type="dxa"/>
            <w:vMerge w:val="continue"/>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p>
        </w:tc>
        <w:tc>
          <w:tcPr>
            <w:tcW w:w="237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overflowPunct/>
              <w:topLinePunct w:val="0"/>
              <w:bidi w:val="0"/>
              <w:adjustRightInd/>
              <w:snapToGrid/>
              <w:spacing w:line="300" w:lineRule="exact"/>
              <w:jc w:val="left"/>
              <w:textAlignment w:val="auto"/>
              <w:rPr>
                <w:rFonts w:hint="eastAsia" w:ascii="宋体" w:hAnsi="宋体" w:eastAsia="宋体" w:cs="宋体"/>
                <w:bCs/>
                <w:color w:val="auto"/>
                <w:sz w:val="24"/>
                <w:szCs w:val="24"/>
                <w:highlight w:val="none"/>
                <w:lang w:eastAsia="zh-CN"/>
              </w:rPr>
            </w:pPr>
            <w:r>
              <w:rPr>
                <w:rFonts w:hint="eastAsia" w:ascii="宋体" w:hAnsi="宋体" w:cs="宋体"/>
                <w:bCs/>
                <w:color w:val="auto"/>
                <w:sz w:val="24"/>
                <w:szCs w:val="24"/>
                <w:highlight w:val="none"/>
                <w:lang w:eastAsia="zh-CN"/>
              </w:rPr>
              <w:t>社保</w:t>
            </w:r>
          </w:p>
        </w:tc>
        <w:tc>
          <w:tcPr>
            <w:tcW w:w="480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overflowPunct/>
              <w:topLinePunct w:val="0"/>
              <w:autoSpaceDE/>
              <w:autoSpaceDN/>
              <w:bidi w:val="0"/>
              <w:adjustRightInd/>
              <w:snapToGrid/>
              <w:spacing w:line="300" w:lineRule="exact"/>
              <w:jc w:val="left"/>
              <w:textAlignment w:val="auto"/>
              <w:rPr>
                <w:rFonts w:hint="eastAsia" w:ascii="宋体" w:hAnsi="宋体" w:cs="宋体"/>
                <w:bCs/>
                <w:color w:val="auto"/>
                <w:sz w:val="24"/>
                <w:szCs w:val="24"/>
                <w:highlight w:val="none"/>
              </w:rPr>
            </w:pPr>
            <w:r>
              <w:rPr>
                <w:rFonts w:hint="eastAsia" w:ascii="宋体" w:hAnsi="宋体" w:eastAsia="宋体" w:cs="宋体"/>
                <w:color w:val="auto"/>
                <w:kern w:val="2"/>
                <w:sz w:val="24"/>
                <w:szCs w:val="24"/>
                <w:highlight w:val="none"/>
                <w:lang w:val="en-US" w:eastAsia="zh-CN" w:bidi="ar-SA"/>
              </w:rPr>
              <w:t>拟派本项目的项目总监、专业监理工程师、安全监理工程师、监理员应提供2023年度</w:t>
            </w:r>
            <w:r>
              <w:rPr>
                <w:rFonts w:hint="eastAsia" w:ascii="宋体" w:hAnsi="宋体" w:cs="宋体"/>
                <w:color w:val="auto"/>
                <w:kern w:val="2"/>
                <w:sz w:val="24"/>
                <w:szCs w:val="24"/>
                <w:highlight w:val="none"/>
                <w:lang w:val="en-US" w:eastAsia="zh-CN" w:bidi="ar-SA"/>
              </w:rPr>
              <w:t>6月-8月</w:t>
            </w:r>
            <w:r>
              <w:rPr>
                <w:rFonts w:hint="eastAsia" w:ascii="宋体" w:hAnsi="宋体" w:eastAsia="宋体" w:cs="宋体"/>
                <w:color w:val="auto"/>
                <w:kern w:val="2"/>
                <w:sz w:val="24"/>
                <w:szCs w:val="24"/>
                <w:highlight w:val="none"/>
                <w:lang w:val="en-US" w:eastAsia="zh-CN" w:bidi="ar-SA"/>
              </w:rPr>
              <w:t>的社会劳动保障部门出具的社会保险缴费证明（需加盖人社部门公章）且社保证明材料所记载的单位必须是该投标单位。（如因社保系统升级关闭无法提供文件要求的相关人员社保证明材料的，申请人应提供文件要求缴纳社保的承诺书（加盖申请人单位公章、法人章），格式自拟。）</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PrEx>
        <w:tc>
          <w:tcPr>
            <w:tcW w:w="653" w:type="dxa"/>
            <w:vMerge w:val="continue"/>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p>
        </w:tc>
        <w:tc>
          <w:tcPr>
            <w:tcW w:w="1198" w:type="dxa"/>
            <w:vMerge w:val="continue"/>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p>
        </w:tc>
        <w:tc>
          <w:tcPr>
            <w:tcW w:w="237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r>
              <w:rPr>
                <w:rFonts w:ascii="宋体" w:hAnsi="宋体" w:cs="宋体"/>
                <w:bCs/>
                <w:color w:val="auto"/>
                <w:sz w:val="24"/>
                <w:szCs w:val="24"/>
                <w:highlight w:val="none"/>
              </w:rPr>
              <w:t>前期服务</w:t>
            </w:r>
          </w:p>
        </w:tc>
        <w:tc>
          <w:tcPr>
            <w:tcW w:w="480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overflowPunct/>
              <w:topLinePunct w:val="0"/>
              <w:autoSpaceDE/>
              <w:autoSpaceDN/>
              <w:bidi w:val="0"/>
              <w:adjustRightInd/>
              <w:snapToGrid/>
              <w:spacing w:line="300" w:lineRule="exact"/>
              <w:jc w:val="left"/>
              <w:textAlignment w:val="auto"/>
              <w:rPr>
                <w:rFonts w:hint="eastAsia" w:ascii="宋体" w:hAnsi="宋体" w:eastAsia="宋体" w:cs="宋体"/>
                <w:color w:val="auto"/>
                <w:szCs w:val="24"/>
                <w:highlight w:val="none"/>
              </w:rPr>
            </w:pPr>
            <w:r>
              <w:rPr>
                <w:rFonts w:hint="eastAsia" w:ascii="宋体" w:hAnsi="宋体" w:cs="宋体"/>
                <w:bCs/>
                <w:color w:val="auto"/>
                <w:sz w:val="24"/>
                <w:szCs w:val="24"/>
                <w:highlight w:val="none"/>
              </w:rPr>
              <w:t>为本项目提供整体设计、规范编制或者项目管理、监理、检测等服务的供应商，不得再参加本项目的其他采购活动；</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653" w:type="dxa"/>
            <w:vMerge w:val="continue"/>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p>
        </w:tc>
        <w:tc>
          <w:tcPr>
            <w:tcW w:w="1198" w:type="dxa"/>
            <w:vMerge w:val="continue"/>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p>
        </w:tc>
        <w:tc>
          <w:tcPr>
            <w:tcW w:w="237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联合体</w:t>
            </w:r>
          </w:p>
        </w:tc>
        <w:tc>
          <w:tcPr>
            <w:tcW w:w="480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本项目不接受联合体。</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PrEx>
        <w:tc>
          <w:tcPr>
            <w:tcW w:w="653" w:type="dxa"/>
            <w:vMerge w:val="restart"/>
            <w:tcBorders>
              <w:top w:val="outset" w:color="auto" w:sz="6" w:space="0"/>
              <w:left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center"/>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2</w:t>
            </w:r>
          </w:p>
        </w:tc>
        <w:tc>
          <w:tcPr>
            <w:tcW w:w="1198" w:type="dxa"/>
            <w:vMerge w:val="restart"/>
            <w:tcBorders>
              <w:top w:val="outset" w:color="auto" w:sz="6" w:space="0"/>
              <w:left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center"/>
              <w:textAlignment w:val="auto"/>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rPr>
              <w:t>符</w:t>
            </w:r>
          </w:p>
          <w:p>
            <w:pPr>
              <w:keepNext w:val="0"/>
              <w:keepLines w:val="0"/>
              <w:pageBreakBefore w:val="0"/>
              <w:kinsoku/>
              <w:wordWrap/>
              <w:overflowPunct/>
              <w:topLinePunct w:val="0"/>
              <w:bidi w:val="0"/>
              <w:adjustRightInd/>
              <w:snapToGrid/>
              <w:spacing w:line="300" w:lineRule="exact"/>
              <w:jc w:val="center"/>
              <w:textAlignment w:val="auto"/>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rPr>
              <w:t>合</w:t>
            </w:r>
          </w:p>
          <w:p>
            <w:pPr>
              <w:keepNext w:val="0"/>
              <w:keepLines w:val="0"/>
              <w:pageBreakBefore w:val="0"/>
              <w:kinsoku/>
              <w:wordWrap/>
              <w:overflowPunct/>
              <w:topLinePunct w:val="0"/>
              <w:bidi w:val="0"/>
              <w:adjustRightInd/>
              <w:snapToGrid/>
              <w:spacing w:line="300" w:lineRule="exact"/>
              <w:jc w:val="center"/>
              <w:textAlignment w:val="auto"/>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rPr>
              <w:t>性</w:t>
            </w:r>
          </w:p>
          <w:p>
            <w:pPr>
              <w:keepNext w:val="0"/>
              <w:keepLines w:val="0"/>
              <w:pageBreakBefore w:val="0"/>
              <w:kinsoku/>
              <w:wordWrap/>
              <w:overflowPunct/>
              <w:topLinePunct w:val="0"/>
              <w:bidi w:val="0"/>
              <w:adjustRightInd/>
              <w:snapToGrid/>
              <w:spacing w:line="300" w:lineRule="exact"/>
              <w:jc w:val="center"/>
              <w:textAlignment w:val="auto"/>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rPr>
              <w:t>检</w:t>
            </w:r>
          </w:p>
          <w:p>
            <w:pPr>
              <w:keepNext w:val="0"/>
              <w:keepLines w:val="0"/>
              <w:pageBreakBefore w:val="0"/>
              <w:kinsoku/>
              <w:wordWrap/>
              <w:overflowPunct/>
              <w:topLinePunct w:val="0"/>
              <w:bidi w:val="0"/>
              <w:adjustRightInd/>
              <w:snapToGrid/>
              <w:spacing w:line="300" w:lineRule="exact"/>
              <w:jc w:val="center"/>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查</w:t>
            </w:r>
          </w:p>
        </w:tc>
        <w:tc>
          <w:tcPr>
            <w:tcW w:w="237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供应商名称</w:t>
            </w:r>
          </w:p>
        </w:tc>
        <w:tc>
          <w:tcPr>
            <w:tcW w:w="480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磋商供应商名称是否与</w:t>
            </w:r>
            <w:r>
              <w:rPr>
                <w:rFonts w:hint="eastAsia" w:ascii="宋体" w:hAnsi="宋体" w:eastAsia="宋体" w:cs="宋体"/>
                <w:color w:val="auto"/>
                <w:szCs w:val="24"/>
                <w:highlight w:val="none"/>
                <w:lang w:eastAsia="zh-CN"/>
              </w:rPr>
              <w:t>资质证书</w:t>
            </w:r>
            <w:r>
              <w:rPr>
                <w:rFonts w:hint="eastAsia" w:ascii="宋体" w:hAnsi="宋体" w:eastAsia="宋体" w:cs="宋体"/>
                <w:color w:val="auto"/>
                <w:szCs w:val="24"/>
                <w:highlight w:val="none"/>
              </w:rPr>
              <w:t xml:space="preserve">等一致 </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653" w:type="dxa"/>
            <w:vMerge w:val="continue"/>
            <w:tcBorders>
              <w:left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p>
        </w:tc>
        <w:tc>
          <w:tcPr>
            <w:tcW w:w="1198" w:type="dxa"/>
            <w:vMerge w:val="continue"/>
            <w:tcBorders>
              <w:left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p>
        </w:tc>
        <w:tc>
          <w:tcPr>
            <w:tcW w:w="237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响应文件</w:t>
            </w:r>
          </w:p>
        </w:tc>
        <w:tc>
          <w:tcPr>
            <w:tcW w:w="480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按磋商文件要求在规定区域加盖单位公章和法定代表人印章（或签名）</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653" w:type="dxa"/>
            <w:vMerge w:val="continue"/>
            <w:tcBorders>
              <w:left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p>
        </w:tc>
        <w:tc>
          <w:tcPr>
            <w:tcW w:w="1198" w:type="dxa"/>
            <w:vMerge w:val="continue"/>
            <w:tcBorders>
              <w:left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p>
        </w:tc>
        <w:tc>
          <w:tcPr>
            <w:tcW w:w="237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r>
              <w:rPr>
                <w:rFonts w:ascii="宋体" w:hAnsi="宋体"/>
                <w:color w:val="auto"/>
                <w:sz w:val="24"/>
                <w:szCs w:val="24"/>
                <w:highlight w:val="none"/>
              </w:rPr>
              <w:t>磋商报价</w:t>
            </w:r>
          </w:p>
        </w:tc>
        <w:tc>
          <w:tcPr>
            <w:tcW w:w="480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overflowPunct/>
              <w:topLinePunct w:val="0"/>
              <w:autoSpaceDE/>
              <w:autoSpaceDN/>
              <w:bidi w:val="0"/>
              <w:adjustRightInd/>
              <w:snapToGrid/>
              <w:spacing w:line="300" w:lineRule="exact"/>
              <w:jc w:val="left"/>
              <w:textAlignment w:val="auto"/>
              <w:rPr>
                <w:rFonts w:hint="eastAsia" w:ascii="宋体" w:hAnsi="宋体" w:eastAsia="宋体" w:cs="宋体"/>
                <w:color w:val="auto"/>
                <w:szCs w:val="24"/>
                <w:highlight w:val="none"/>
              </w:rPr>
            </w:pPr>
            <w:r>
              <w:rPr>
                <w:rFonts w:hint="eastAsia" w:ascii="宋体" w:hAnsi="宋体" w:cs="宋体"/>
                <w:color w:val="auto"/>
                <w:sz w:val="24"/>
                <w:szCs w:val="24"/>
                <w:highlight w:val="none"/>
              </w:rPr>
              <w:t>磋商报价唯一；磋商报价未超过预算金额或者最高限价；</w:t>
            </w:r>
            <w:r>
              <w:rPr>
                <w:rFonts w:hint="eastAsia" w:ascii="宋体" w:hAnsi="宋体" w:cs="宋体"/>
                <w:color w:val="auto"/>
                <w:sz w:val="24"/>
                <w:szCs w:val="24"/>
                <w:highlight w:val="none"/>
                <w:lang w:eastAsia="zh-CN"/>
              </w:rPr>
              <w:t>第二轮未超过第一轮报价</w:t>
            </w:r>
            <w:r>
              <w:rPr>
                <w:rFonts w:hint="eastAsia" w:ascii="宋体" w:hAnsi="宋体" w:cs="宋体"/>
                <w:color w:val="auto"/>
                <w:sz w:val="24"/>
                <w:szCs w:val="24"/>
                <w:highlight w:val="none"/>
              </w:rPr>
              <w:t xml:space="preserve">； </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PrEx>
        <w:trPr>
          <w:trHeight w:val="261" w:hRule="atLeast"/>
        </w:trPr>
        <w:tc>
          <w:tcPr>
            <w:tcW w:w="653" w:type="dxa"/>
            <w:vMerge w:val="continue"/>
            <w:tcBorders>
              <w:left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p>
        </w:tc>
        <w:tc>
          <w:tcPr>
            <w:tcW w:w="1198" w:type="dxa"/>
            <w:vMerge w:val="continue"/>
            <w:tcBorders>
              <w:left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p>
        </w:tc>
        <w:tc>
          <w:tcPr>
            <w:tcW w:w="237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磋商有效期</w:t>
            </w:r>
          </w:p>
        </w:tc>
        <w:tc>
          <w:tcPr>
            <w:tcW w:w="480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left"/>
              <w:textAlignment w:val="auto"/>
              <w:rPr>
                <w:rFonts w:hint="default" w:ascii="宋体" w:hAnsi="宋体" w:eastAsia="宋体" w:cs="宋体"/>
                <w:color w:val="auto"/>
                <w:szCs w:val="24"/>
                <w:highlight w:val="none"/>
                <w:lang w:val="en-US" w:eastAsia="zh-CN"/>
              </w:rPr>
            </w:pPr>
            <w:r>
              <w:rPr>
                <w:rFonts w:hint="eastAsia" w:ascii="宋体" w:hAnsi="宋体" w:eastAsia="宋体" w:cs="宋体"/>
                <w:color w:val="auto"/>
                <w:szCs w:val="24"/>
                <w:highlight w:val="none"/>
              </w:rPr>
              <w:t xml:space="preserve">符合磋商文件规定。 </w:t>
            </w:r>
            <w:r>
              <w:rPr>
                <w:rFonts w:hint="eastAsia" w:ascii="宋体" w:hAnsi="宋体" w:cs="宋体"/>
                <w:color w:val="auto"/>
                <w:szCs w:val="24"/>
                <w:highlight w:val="none"/>
                <w:lang w:val="en-US" w:eastAsia="zh-CN"/>
              </w:rPr>
              <w:t xml:space="preserve">    </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653" w:type="dxa"/>
            <w:vMerge w:val="continue"/>
            <w:tcBorders>
              <w:left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p>
        </w:tc>
        <w:tc>
          <w:tcPr>
            <w:tcW w:w="1198" w:type="dxa"/>
            <w:vMerge w:val="continue"/>
            <w:tcBorders>
              <w:left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p>
        </w:tc>
        <w:tc>
          <w:tcPr>
            <w:tcW w:w="237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法律法规</w:t>
            </w:r>
          </w:p>
        </w:tc>
        <w:tc>
          <w:tcPr>
            <w:tcW w:w="480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szCs w:val="24"/>
                <w:highlight w:val="none"/>
              </w:rPr>
            </w:pPr>
            <w:r>
              <w:rPr>
                <w:rFonts w:hint="eastAsia" w:ascii="宋体" w:hAnsi="宋体" w:eastAsia="宋体" w:cs="宋体"/>
                <w:color w:val="auto"/>
                <w:szCs w:val="24"/>
                <w:highlight w:val="none"/>
              </w:rPr>
              <w:t>符合法律、法规和磋商文件中规定的其他实质性要求的。</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PrEx>
        <w:tc>
          <w:tcPr>
            <w:tcW w:w="653" w:type="dxa"/>
            <w:vMerge w:val="continue"/>
            <w:tcBorders>
              <w:left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p>
        </w:tc>
        <w:tc>
          <w:tcPr>
            <w:tcW w:w="1198" w:type="dxa"/>
            <w:vMerge w:val="continue"/>
            <w:tcBorders>
              <w:left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p>
        </w:tc>
        <w:tc>
          <w:tcPr>
            <w:tcW w:w="237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r>
              <w:rPr>
                <w:rFonts w:ascii="宋体" w:hAnsi="宋体"/>
                <w:color w:val="auto"/>
                <w:sz w:val="24"/>
                <w:szCs w:val="24"/>
                <w:highlight w:val="none"/>
              </w:rPr>
              <w:t>法定代表人和授权代表资格</w:t>
            </w:r>
          </w:p>
        </w:tc>
        <w:tc>
          <w:tcPr>
            <w:tcW w:w="480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overflowPunct/>
              <w:topLinePunct w:val="0"/>
              <w:autoSpaceDE/>
              <w:autoSpaceDN/>
              <w:bidi w:val="0"/>
              <w:adjustRightInd/>
              <w:snapToGrid/>
              <w:spacing w:line="300" w:lineRule="exact"/>
              <w:jc w:val="left"/>
              <w:textAlignment w:val="auto"/>
              <w:rPr>
                <w:rFonts w:hint="eastAsia" w:ascii="宋体" w:hAnsi="宋体" w:eastAsia="宋体" w:cs="宋体"/>
                <w:color w:val="auto"/>
                <w:szCs w:val="24"/>
                <w:highlight w:val="none"/>
              </w:rPr>
            </w:pPr>
            <w:r>
              <w:rPr>
                <w:rFonts w:hint="eastAsia" w:ascii="宋体" w:hAnsi="宋体" w:cs="宋体"/>
                <w:color w:val="auto"/>
                <w:sz w:val="24"/>
                <w:szCs w:val="24"/>
                <w:highlight w:val="none"/>
              </w:rPr>
              <w:t>具有法定代表人资格证明和法定代表人授权委托书</w:t>
            </w:r>
            <w:r>
              <w:rPr>
                <w:rFonts w:hint="eastAsia" w:ascii="宋体" w:hAnsi="宋体" w:eastAsia="宋体" w:cs="宋体"/>
                <w:color w:val="auto"/>
                <w:szCs w:val="24"/>
                <w:highlight w:val="none"/>
              </w:rPr>
              <w:t>。</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PrEx>
        <w:tc>
          <w:tcPr>
            <w:tcW w:w="653" w:type="dxa"/>
            <w:tcBorders>
              <w:left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p>
        </w:tc>
        <w:tc>
          <w:tcPr>
            <w:tcW w:w="1198" w:type="dxa"/>
            <w:tcBorders>
              <w:left w:val="outset" w:color="auto" w:sz="6" w:space="0"/>
              <w:right w:val="outset" w:color="auto" w:sz="6" w:space="0"/>
            </w:tcBorders>
            <w:noWrap w:val="0"/>
            <w:vAlign w:val="center"/>
          </w:tcPr>
          <w:p>
            <w:pPr>
              <w:keepNext w:val="0"/>
              <w:keepLines w:val="0"/>
              <w:pageBreakBefore w:val="0"/>
              <w:kinsoku/>
              <w:wordWrap/>
              <w:overflowPunct/>
              <w:topLinePunct w:val="0"/>
              <w:bidi w:val="0"/>
              <w:adjustRightInd/>
              <w:snapToGrid/>
              <w:spacing w:line="300" w:lineRule="exact"/>
              <w:jc w:val="left"/>
              <w:textAlignment w:val="auto"/>
              <w:rPr>
                <w:rFonts w:hint="eastAsia" w:ascii="宋体" w:hAnsi="宋体" w:eastAsia="宋体" w:cs="宋体"/>
                <w:color w:val="auto"/>
                <w:szCs w:val="24"/>
                <w:highlight w:val="none"/>
              </w:rPr>
            </w:pPr>
          </w:p>
        </w:tc>
        <w:tc>
          <w:tcPr>
            <w:tcW w:w="237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overflowPunct/>
              <w:topLinePunct w:val="0"/>
              <w:bidi w:val="0"/>
              <w:adjustRightInd/>
              <w:snapToGrid/>
              <w:spacing w:line="300" w:lineRule="exact"/>
              <w:jc w:val="left"/>
              <w:textAlignment w:val="auto"/>
              <w:rPr>
                <w:rFonts w:hint="eastAsia" w:ascii="宋体" w:hAnsi="宋体"/>
                <w:color w:val="auto"/>
                <w:sz w:val="24"/>
                <w:szCs w:val="24"/>
                <w:highlight w:val="none"/>
                <w:lang w:val="en-US" w:eastAsia="zh-CN"/>
              </w:rPr>
            </w:pPr>
            <w:r>
              <w:rPr>
                <w:rFonts w:hint="eastAsia" w:ascii="宋体" w:hAnsi="宋体"/>
                <w:color w:val="auto"/>
                <w:sz w:val="24"/>
                <w:szCs w:val="24"/>
                <w:highlight w:val="none"/>
                <w:lang w:val="en-US" w:eastAsia="zh-CN"/>
              </w:rPr>
              <w:t>其它要求</w:t>
            </w:r>
          </w:p>
        </w:tc>
        <w:tc>
          <w:tcPr>
            <w:tcW w:w="4800"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overflowPunct/>
              <w:topLinePunct w:val="0"/>
              <w:autoSpaceDE/>
              <w:autoSpaceDN/>
              <w:bidi w:val="0"/>
              <w:adjustRightInd/>
              <w:snapToGrid/>
              <w:spacing w:line="300" w:lineRule="exact"/>
              <w:jc w:val="left"/>
              <w:textAlignment w:val="auto"/>
              <w:rPr>
                <w:rFonts w:hint="eastAsia" w:ascii="宋体" w:hAnsi="宋体"/>
                <w:color w:val="auto"/>
                <w:sz w:val="24"/>
                <w:szCs w:val="24"/>
                <w:highlight w:val="none"/>
                <w:lang w:val="en-US" w:eastAsia="zh-CN"/>
              </w:rPr>
            </w:pPr>
            <w:r>
              <w:rPr>
                <w:rFonts w:hint="eastAsia" w:ascii="宋体" w:hAnsi="宋体"/>
                <w:color w:val="auto"/>
                <w:sz w:val="24"/>
                <w:szCs w:val="24"/>
                <w:highlight w:val="none"/>
                <w:lang w:val="en-US" w:eastAsia="zh-CN"/>
              </w:rPr>
              <w:t>供应商必须按采购文件第三章采购需求中第三条的各项要求做出承诺，未按要求承诺的将作废标处理。</w:t>
            </w:r>
          </w:p>
        </w:tc>
      </w:tr>
    </w:tbl>
    <w:p>
      <w:pPr>
        <w:pStyle w:val="10"/>
        <w:keepNext w:val="0"/>
        <w:keepLines w:val="0"/>
        <w:pageBreakBefore w:val="0"/>
        <w:kinsoku/>
        <w:wordWrap/>
        <w:overflowPunct/>
        <w:topLinePunct w:val="0"/>
        <w:bidi w:val="0"/>
        <w:adjustRightInd/>
        <w:snapToGrid/>
        <w:spacing w:line="300" w:lineRule="exact"/>
        <w:ind w:firstLine="480"/>
        <w:textAlignment w:val="auto"/>
        <w:rPr>
          <w:rFonts w:hint="eastAsia" w:ascii="宋体" w:hAnsi="宋体" w:eastAsia="宋体" w:cs="宋体"/>
          <w:color w:val="auto"/>
          <w:highlight w:val="none"/>
        </w:rPr>
      </w:pPr>
    </w:p>
    <w:p>
      <w:pPr>
        <w:keepNext w:val="0"/>
        <w:keepLines w:val="0"/>
        <w:pageBreakBefore w:val="0"/>
        <w:kinsoku/>
        <w:wordWrap w:val="0"/>
        <w:overflowPunct/>
        <w:topLinePunct w:val="0"/>
        <w:autoSpaceDE/>
        <w:autoSpaceDN/>
        <w:bidi w:val="0"/>
        <w:adjustRightInd/>
        <w:snapToGrid/>
        <w:spacing w:line="330" w:lineRule="exact"/>
        <w:ind w:left="118"/>
        <w:textAlignment w:val="auto"/>
        <w:rPr>
          <w:rFonts w:hint="eastAsia"/>
          <w:color w:val="auto"/>
          <w:highlight w:val="none"/>
          <w:lang w:val="en-US" w:eastAsia="zh-CN"/>
        </w:rPr>
      </w:pPr>
      <w:r>
        <w:rPr>
          <w:rFonts w:hint="eastAsia" w:ascii="宋体" w:hAnsi="宋体" w:eastAsia="宋体" w:cs="宋体"/>
          <w:color w:val="auto"/>
          <w:szCs w:val="24"/>
          <w:highlight w:val="none"/>
        </w:rPr>
        <w:t>以上审查内容必须全部符合审查标准，否则为无效响应文件。</w:t>
      </w:r>
      <w:bookmarkStart w:id="130" w:name="_Toc10127"/>
    </w:p>
    <w:p>
      <w:pPr>
        <w:pStyle w:val="9"/>
        <w:keepNext w:val="0"/>
        <w:keepLines w:val="0"/>
        <w:pageBreakBefore w:val="0"/>
        <w:kinsoku/>
        <w:overflowPunct/>
        <w:topLinePunct w:val="0"/>
        <w:autoSpaceDE/>
        <w:autoSpaceDN/>
        <w:bidi w:val="0"/>
        <w:adjustRightInd/>
        <w:snapToGrid/>
        <w:spacing w:before="0" w:after="0" w:line="330" w:lineRule="exact"/>
        <w:jc w:val="center"/>
        <w:textAlignment w:val="auto"/>
        <w:rPr>
          <w:rFonts w:hint="eastAsia"/>
          <w:color w:val="auto"/>
          <w:highlight w:val="none"/>
        </w:rPr>
      </w:pPr>
      <w:r>
        <w:rPr>
          <w:rFonts w:hint="eastAsia"/>
          <w:color w:val="auto"/>
          <w:highlight w:val="none"/>
          <w:lang w:val="en-US" w:eastAsia="zh-CN"/>
        </w:rPr>
        <w:t xml:space="preserve">    </w:t>
      </w:r>
      <w:bookmarkStart w:id="131" w:name="_Toc20310"/>
      <w:r>
        <w:rPr>
          <w:rFonts w:hint="eastAsia"/>
          <w:color w:val="auto"/>
          <w:highlight w:val="none"/>
        </w:rPr>
        <w:t>（二）技术、</w:t>
      </w:r>
      <w:r>
        <w:rPr>
          <w:rFonts w:hint="eastAsia"/>
          <w:color w:val="auto"/>
          <w:highlight w:val="none"/>
          <w:lang w:eastAsia="zh-CN"/>
        </w:rPr>
        <w:t>综合、经济</w:t>
      </w:r>
      <w:r>
        <w:rPr>
          <w:rFonts w:hint="eastAsia"/>
          <w:color w:val="auto"/>
          <w:highlight w:val="none"/>
        </w:rPr>
        <w:t>评审内容及标准</w:t>
      </w:r>
      <w:bookmarkEnd w:id="131"/>
    </w:p>
    <w:bookmarkEnd w:id="126"/>
    <w:bookmarkEnd w:id="130"/>
    <w:tbl>
      <w:tblPr>
        <w:tblStyle w:val="17"/>
        <w:tblpPr w:leftFromText="180" w:rightFromText="180" w:vertAnchor="text" w:horzAnchor="page" w:tblpX="1927" w:tblpY="586"/>
        <w:tblOverlap w:val="never"/>
        <w:tblW w:w="90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1"/>
        <w:gridCol w:w="1530"/>
        <w:gridCol w:w="558"/>
        <w:gridCol w:w="60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89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val="0"/>
              <w:overflowPunct/>
              <w:topLinePunct w:val="0"/>
              <w:autoSpaceDE/>
              <w:autoSpaceDN/>
              <w:bidi w:val="0"/>
              <w:adjustRightInd/>
              <w:snapToGrid/>
              <w:spacing w:line="330" w:lineRule="exact"/>
              <w:jc w:val="center"/>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条款号</w:t>
            </w:r>
          </w:p>
        </w:tc>
        <w:tc>
          <w:tcPr>
            <w:tcW w:w="153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val="0"/>
              <w:overflowPunct/>
              <w:topLinePunct w:val="0"/>
              <w:autoSpaceDE/>
              <w:autoSpaceDN/>
              <w:bidi w:val="0"/>
              <w:adjustRightInd/>
              <w:snapToGrid/>
              <w:spacing w:line="330" w:lineRule="exact"/>
              <w:jc w:val="center"/>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评分因素</w:t>
            </w:r>
          </w:p>
        </w:tc>
        <w:tc>
          <w:tcPr>
            <w:tcW w:w="558" w:type="dxa"/>
            <w:tcBorders>
              <w:top w:val="single" w:color="auto" w:sz="4" w:space="0"/>
              <w:left w:val="single" w:color="auto" w:sz="4" w:space="0"/>
              <w:bottom w:val="single" w:color="auto" w:sz="4" w:space="0"/>
              <w:right w:val="single" w:color="auto" w:sz="4" w:space="0"/>
            </w:tcBorders>
            <w:noWrap w:val="0"/>
            <w:tcMar>
              <w:top w:w="17" w:type="dxa"/>
              <w:left w:w="28" w:type="dxa"/>
              <w:bottom w:w="17" w:type="dxa"/>
              <w:right w:w="28" w:type="dxa"/>
            </w:tcMar>
            <w:vAlign w:val="center"/>
          </w:tcPr>
          <w:p>
            <w:pPr>
              <w:keepNext w:val="0"/>
              <w:keepLines w:val="0"/>
              <w:pageBreakBefore w:val="0"/>
              <w:widowControl/>
              <w:kinsoku/>
              <w:wordWrap w:val="0"/>
              <w:overflowPunct/>
              <w:topLinePunct w:val="0"/>
              <w:autoSpaceDE/>
              <w:autoSpaceDN/>
              <w:bidi w:val="0"/>
              <w:adjustRightInd/>
              <w:snapToGrid/>
              <w:spacing w:line="330" w:lineRule="exact"/>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分值</w:t>
            </w:r>
          </w:p>
        </w:tc>
        <w:tc>
          <w:tcPr>
            <w:tcW w:w="6059"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keepNext w:val="0"/>
              <w:keepLines w:val="0"/>
              <w:pageBreakBefore w:val="0"/>
              <w:widowControl/>
              <w:kinsoku/>
              <w:wordWrap w:val="0"/>
              <w:overflowPunct/>
              <w:topLinePunct w:val="0"/>
              <w:autoSpaceDE/>
              <w:autoSpaceDN/>
              <w:bidi w:val="0"/>
              <w:adjustRightInd/>
              <w:snapToGrid/>
              <w:spacing w:line="330" w:lineRule="exact"/>
              <w:jc w:val="center"/>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891" w:type="dxa"/>
            <w:vMerge w:val="restart"/>
            <w:tcBorders>
              <w:left w:val="single" w:color="auto" w:sz="4" w:space="0"/>
              <w:right w:val="single" w:color="auto" w:sz="4" w:space="0"/>
            </w:tcBorders>
            <w:noWrap w:val="0"/>
            <w:vAlign w:val="center"/>
          </w:tcPr>
          <w:p>
            <w:pPr>
              <w:keepNext w:val="0"/>
              <w:keepLines w:val="0"/>
              <w:pageBreakBefore w:val="0"/>
              <w:widowControl/>
              <w:kinsoku/>
              <w:wordWrap w:val="0"/>
              <w:overflowPunct/>
              <w:topLinePunct w:val="0"/>
              <w:autoSpaceDE/>
              <w:autoSpaceDN/>
              <w:bidi w:val="0"/>
              <w:adjustRightInd/>
              <w:snapToGrid/>
              <w:spacing w:line="33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商务部分评分标准</w:t>
            </w:r>
          </w:p>
          <w:p>
            <w:pPr>
              <w:keepNext w:val="0"/>
              <w:keepLines w:val="0"/>
              <w:pageBreakBefore w:val="0"/>
              <w:widowControl/>
              <w:kinsoku/>
              <w:wordWrap w:val="0"/>
              <w:overflowPunct/>
              <w:topLinePunct w:val="0"/>
              <w:autoSpaceDE/>
              <w:autoSpaceDN/>
              <w:bidi w:val="0"/>
              <w:adjustRightInd/>
              <w:snapToGrid/>
              <w:spacing w:line="33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w:t>
            </w:r>
            <w:r>
              <w:rPr>
                <w:rFonts w:hint="eastAsia" w:ascii="宋体" w:hAnsi="宋体" w:cs="宋体"/>
                <w:color w:val="auto"/>
                <w:kern w:val="0"/>
                <w:sz w:val="24"/>
                <w:szCs w:val="24"/>
                <w:highlight w:val="none"/>
                <w:lang w:val="en-US" w:eastAsia="zh-CN"/>
              </w:rPr>
              <w:t>17</w:t>
            </w:r>
            <w:r>
              <w:rPr>
                <w:rFonts w:hint="eastAsia" w:ascii="宋体" w:hAnsi="宋体" w:eastAsia="宋体" w:cs="宋体"/>
                <w:color w:val="auto"/>
                <w:kern w:val="0"/>
                <w:sz w:val="24"/>
                <w:szCs w:val="24"/>
                <w:highlight w:val="none"/>
              </w:rPr>
              <w:t>分）</w:t>
            </w:r>
          </w:p>
        </w:tc>
        <w:tc>
          <w:tcPr>
            <w:tcW w:w="1530" w:type="dxa"/>
            <w:tcBorders>
              <w:top w:val="single" w:color="auto" w:sz="4" w:space="0"/>
              <w:left w:val="single" w:color="auto" w:sz="4" w:space="0"/>
              <w:bottom w:val="single" w:color="auto" w:sz="4" w:space="0"/>
              <w:right w:val="single" w:color="auto" w:sz="4" w:space="0"/>
            </w:tcBorders>
            <w:noWrap w:val="0"/>
            <w:vAlign w:val="center"/>
          </w:tcPr>
          <w:p>
            <w:pPr>
              <w:pStyle w:val="32"/>
              <w:keepNext w:val="0"/>
              <w:keepLines w:val="0"/>
              <w:pageBreakBefore w:val="0"/>
              <w:kinsoku/>
              <w:wordWrap/>
              <w:overflowPunct/>
              <w:topLinePunct w:val="0"/>
              <w:bidi w:val="0"/>
              <w:adjustRightInd/>
              <w:snapToGrid/>
              <w:spacing w:line="33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ascii="宋体" w:hAnsi="宋体"/>
                <w:color w:val="auto"/>
                <w:sz w:val="24"/>
                <w:szCs w:val="24"/>
              </w:rPr>
              <w:t>磋商响应文件制作</w:t>
            </w:r>
          </w:p>
        </w:tc>
        <w:tc>
          <w:tcPr>
            <w:tcW w:w="558"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pStyle w:val="32"/>
              <w:keepNext w:val="0"/>
              <w:keepLines w:val="0"/>
              <w:pageBreakBefore w:val="0"/>
              <w:kinsoku/>
              <w:wordWrap/>
              <w:overflowPunct/>
              <w:topLinePunct w:val="0"/>
              <w:bidi w:val="0"/>
              <w:adjustRightInd/>
              <w:snapToGrid/>
              <w:spacing w:line="33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w:t>
            </w:r>
          </w:p>
        </w:tc>
        <w:tc>
          <w:tcPr>
            <w:tcW w:w="6059"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pStyle w:val="32"/>
              <w:keepNext w:val="0"/>
              <w:keepLines w:val="0"/>
              <w:pageBreakBefore w:val="0"/>
              <w:kinsoku/>
              <w:wordWrap/>
              <w:overflowPunct/>
              <w:topLinePunct w:val="0"/>
              <w:bidi w:val="0"/>
              <w:adjustRightInd/>
              <w:snapToGrid/>
              <w:spacing w:line="330" w:lineRule="exact"/>
              <w:ind w:left="0" w:leftChars="0" w:right="0" w:rightChars="0"/>
              <w:textAlignment w:val="auto"/>
              <w:rPr>
                <w:rFonts w:hint="eastAsia" w:ascii="宋体" w:hAnsi="宋体" w:eastAsia="宋体" w:cs="宋体"/>
                <w:color w:val="auto"/>
                <w:kern w:val="2"/>
                <w:sz w:val="24"/>
                <w:szCs w:val="24"/>
                <w:highlight w:val="none"/>
                <w:lang w:val="en-US" w:eastAsia="zh-CN" w:bidi="ar-SA"/>
              </w:rPr>
            </w:pPr>
            <w:r>
              <w:rPr>
                <w:rFonts w:ascii="宋体" w:hAnsi="宋体"/>
                <w:color w:val="auto"/>
                <w:sz w:val="24"/>
                <w:szCs w:val="24"/>
              </w:rPr>
              <w:t>按照竞争性磋商文件要求装订响应文件，有目录并编制页码，内容</w:t>
            </w:r>
            <w:r>
              <w:rPr>
                <w:rFonts w:hint="eastAsia" w:ascii="宋体" w:hAnsi="宋体"/>
                <w:color w:val="auto"/>
                <w:sz w:val="24"/>
                <w:szCs w:val="24"/>
              </w:rPr>
              <w:t>准确</w:t>
            </w:r>
            <w:r>
              <w:rPr>
                <w:rFonts w:ascii="宋体" w:hAnsi="宋体"/>
                <w:color w:val="auto"/>
                <w:sz w:val="24"/>
                <w:szCs w:val="24"/>
              </w:rPr>
              <w:t>架构清晰、易于查阅、审核的得</w:t>
            </w:r>
            <w:r>
              <w:rPr>
                <w:rFonts w:hint="eastAsia" w:ascii="宋体" w:hAnsi="宋体"/>
                <w:color w:val="auto"/>
                <w:sz w:val="24"/>
                <w:szCs w:val="24"/>
                <w:lang w:val="en-US" w:eastAsia="zh-CN"/>
              </w:rPr>
              <w:t>2</w:t>
            </w:r>
            <w:r>
              <w:rPr>
                <w:rFonts w:ascii="宋体" w:hAnsi="宋体"/>
                <w:color w:val="auto"/>
                <w:sz w:val="24"/>
                <w:szCs w:val="24"/>
              </w:rPr>
              <w:t>分,每出现一处错误扣</w:t>
            </w:r>
            <w:r>
              <w:rPr>
                <w:rFonts w:hint="eastAsia" w:ascii="宋体" w:hAnsi="宋体"/>
                <w:color w:val="auto"/>
                <w:sz w:val="24"/>
                <w:szCs w:val="24"/>
                <w:lang w:val="en-US" w:eastAsia="zh-CN"/>
              </w:rPr>
              <w:t>1</w:t>
            </w:r>
            <w:r>
              <w:rPr>
                <w:rFonts w:ascii="宋体" w:hAnsi="宋体"/>
                <w:color w:val="auto"/>
                <w:sz w:val="24"/>
                <w:szCs w:val="24"/>
              </w:rPr>
              <w:t xml:space="preserve">分，扣完为止。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891"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napToGrid/>
              <w:spacing w:line="330" w:lineRule="exact"/>
              <w:jc w:val="left"/>
              <w:textAlignment w:val="auto"/>
              <w:rPr>
                <w:rFonts w:hint="eastAsia" w:ascii="宋体" w:hAnsi="宋体" w:eastAsia="宋体" w:cs="宋体"/>
                <w:color w:val="auto"/>
                <w:kern w:val="0"/>
                <w:sz w:val="24"/>
                <w:szCs w:val="24"/>
                <w:highlight w:val="none"/>
              </w:rPr>
            </w:pPr>
          </w:p>
        </w:tc>
        <w:tc>
          <w:tcPr>
            <w:tcW w:w="1530" w:type="dxa"/>
            <w:tcBorders>
              <w:top w:val="single" w:color="auto" w:sz="4" w:space="0"/>
              <w:left w:val="single" w:color="auto" w:sz="4" w:space="0"/>
              <w:bottom w:val="single" w:color="auto" w:sz="4" w:space="0"/>
              <w:right w:val="single" w:color="auto" w:sz="4" w:space="0"/>
            </w:tcBorders>
            <w:noWrap w:val="0"/>
            <w:vAlign w:val="center"/>
          </w:tcPr>
          <w:p>
            <w:pPr>
              <w:pStyle w:val="32"/>
              <w:keepNext w:val="0"/>
              <w:keepLines w:val="0"/>
              <w:pageBreakBefore w:val="0"/>
              <w:kinsoku/>
              <w:wordWrap/>
              <w:overflowPunct/>
              <w:topLinePunct w:val="0"/>
              <w:bidi w:val="0"/>
              <w:adjustRightInd/>
              <w:snapToGrid/>
              <w:spacing w:line="330" w:lineRule="exact"/>
              <w:ind w:left="0" w:leftChars="0" w:right="0" w:rightChars="0"/>
              <w:jc w:val="center"/>
              <w:textAlignment w:val="auto"/>
              <w:rPr>
                <w:color w:val="auto"/>
                <w:sz w:val="24"/>
                <w:szCs w:val="24"/>
              </w:rPr>
            </w:pPr>
            <w:r>
              <w:rPr>
                <w:color w:val="auto"/>
                <w:sz w:val="24"/>
                <w:szCs w:val="24"/>
              </w:rPr>
              <w:t>类似项目</w:t>
            </w:r>
          </w:p>
          <w:p>
            <w:pPr>
              <w:pStyle w:val="32"/>
              <w:keepNext w:val="0"/>
              <w:keepLines w:val="0"/>
              <w:pageBreakBefore w:val="0"/>
              <w:kinsoku/>
              <w:wordWrap/>
              <w:overflowPunct/>
              <w:topLinePunct w:val="0"/>
              <w:bidi w:val="0"/>
              <w:adjustRightInd/>
              <w:snapToGrid/>
              <w:spacing w:line="33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color w:val="auto"/>
                <w:sz w:val="24"/>
                <w:szCs w:val="24"/>
              </w:rPr>
              <w:t>业绩</w:t>
            </w:r>
          </w:p>
        </w:tc>
        <w:tc>
          <w:tcPr>
            <w:tcW w:w="558"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pStyle w:val="32"/>
              <w:keepNext w:val="0"/>
              <w:keepLines w:val="0"/>
              <w:pageBreakBefore w:val="0"/>
              <w:kinsoku/>
              <w:wordWrap/>
              <w:overflowPunct/>
              <w:topLinePunct w:val="0"/>
              <w:bidi w:val="0"/>
              <w:adjustRightInd/>
              <w:snapToGrid/>
              <w:spacing w:line="33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9</w:t>
            </w:r>
          </w:p>
        </w:tc>
        <w:tc>
          <w:tcPr>
            <w:tcW w:w="6059"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pStyle w:val="32"/>
              <w:keepNext w:val="0"/>
              <w:keepLines w:val="0"/>
              <w:pageBreakBefore w:val="0"/>
              <w:kinsoku/>
              <w:wordWrap/>
              <w:overflowPunct/>
              <w:topLinePunct w:val="0"/>
              <w:bidi w:val="0"/>
              <w:adjustRightInd/>
              <w:snapToGrid/>
              <w:spacing w:line="330" w:lineRule="exact"/>
              <w:ind w:left="0" w:leftChars="0" w:right="0" w:right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olor w:val="auto"/>
                <w:sz w:val="24"/>
                <w:szCs w:val="24"/>
              </w:rPr>
              <w:t>供应商</w:t>
            </w:r>
            <w:r>
              <w:rPr>
                <w:rFonts w:hint="eastAsia" w:ascii="宋体" w:hAnsi="宋体" w:eastAsia="宋体" w:cs="宋体"/>
                <w:color w:val="auto"/>
                <w:kern w:val="2"/>
                <w:sz w:val="24"/>
                <w:szCs w:val="24"/>
                <w:highlight w:val="none"/>
                <w:lang w:val="zh-CN" w:eastAsia="zh-CN" w:bidi="ar-SA"/>
              </w:rPr>
              <w:t>近</w:t>
            </w:r>
            <w:r>
              <w:rPr>
                <w:rFonts w:hint="eastAsia" w:ascii="宋体" w:hAnsi="宋体" w:eastAsia="宋体" w:cs="宋体"/>
                <w:color w:val="auto"/>
                <w:kern w:val="2"/>
                <w:sz w:val="24"/>
                <w:szCs w:val="24"/>
                <w:highlight w:val="none"/>
                <w:lang w:val="en-US" w:eastAsia="zh-CN" w:bidi="ar-SA"/>
              </w:rPr>
              <w:t>三</w:t>
            </w:r>
            <w:r>
              <w:rPr>
                <w:rFonts w:hint="eastAsia" w:ascii="宋体" w:hAnsi="宋体" w:eastAsia="宋体" w:cs="宋体"/>
                <w:color w:val="auto"/>
                <w:kern w:val="2"/>
                <w:sz w:val="24"/>
                <w:szCs w:val="24"/>
                <w:highlight w:val="none"/>
                <w:lang w:val="zh-CN" w:eastAsia="zh-CN" w:bidi="ar-SA"/>
              </w:rPr>
              <w:t>年（</w:t>
            </w:r>
            <w:r>
              <w:rPr>
                <w:rFonts w:hint="eastAsia" w:ascii="宋体" w:hAnsi="宋体" w:cs="宋体"/>
                <w:color w:val="auto"/>
                <w:kern w:val="2"/>
                <w:sz w:val="24"/>
                <w:szCs w:val="24"/>
                <w:highlight w:val="none"/>
                <w:lang w:val="en-US" w:eastAsia="zh-CN" w:bidi="ar-SA"/>
              </w:rPr>
              <w:t>2020年1月1日</w:t>
            </w:r>
            <w:r>
              <w:rPr>
                <w:rFonts w:hint="eastAsia" w:ascii="宋体" w:hAnsi="宋体" w:eastAsia="宋体" w:cs="宋体"/>
                <w:color w:val="auto"/>
                <w:kern w:val="2"/>
                <w:sz w:val="24"/>
                <w:szCs w:val="24"/>
                <w:highlight w:val="none"/>
                <w:lang w:val="zh-CN" w:eastAsia="zh-CN" w:bidi="ar-SA"/>
              </w:rPr>
              <w:t>）</w:t>
            </w:r>
            <w:r>
              <w:rPr>
                <w:rFonts w:hint="eastAsia" w:ascii="宋体" w:hAnsi="宋体"/>
                <w:color w:val="auto"/>
                <w:sz w:val="24"/>
                <w:szCs w:val="24"/>
              </w:rPr>
              <w:t>以来承担过</w:t>
            </w:r>
            <w:r>
              <w:rPr>
                <w:rFonts w:hint="eastAsia" w:ascii="宋体" w:hAnsi="宋体"/>
                <w:color w:val="auto"/>
                <w:sz w:val="24"/>
                <w:szCs w:val="24"/>
                <w:lang w:val="en-US" w:eastAsia="zh-CN"/>
              </w:rPr>
              <w:t>类似本</w:t>
            </w:r>
            <w:r>
              <w:rPr>
                <w:rFonts w:hint="eastAsia" w:ascii="宋体" w:hAnsi="宋体"/>
                <w:color w:val="auto"/>
                <w:sz w:val="24"/>
                <w:szCs w:val="24"/>
              </w:rPr>
              <w:t>项目业绩，每项得</w:t>
            </w:r>
            <w:r>
              <w:rPr>
                <w:rFonts w:hint="eastAsia" w:ascii="宋体" w:hAnsi="宋体"/>
                <w:color w:val="auto"/>
                <w:sz w:val="24"/>
                <w:szCs w:val="24"/>
                <w:lang w:val="en-US" w:eastAsia="zh-CN"/>
              </w:rPr>
              <w:t>3</w:t>
            </w:r>
            <w:r>
              <w:rPr>
                <w:rFonts w:hint="eastAsia" w:ascii="宋体" w:hAnsi="宋体"/>
                <w:color w:val="auto"/>
                <w:sz w:val="24"/>
                <w:szCs w:val="24"/>
              </w:rPr>
              <w:t>分，最多得</w:t>
            </w:r>
            <w:r>
              <w:rPr>
                <w:rFonts w:hint="eastAsia" w:ascii="宋体" w:hAnsi="宋体"/>
                <w:color w:val="auto"/>
                <w:sz w:val="24"/>
                <w:szCs w:val="24"/>
                <w:lang w:val="en-US" w:eastAsia="zh-CN"/>
              </w:rPr>
              <w:t>9</w:t>
            </w:r>
            <w:r>
              <w:rPr>
                <w:rFonts w:hint="eastAsia" w:ascii="宋体" w:hAnsi="宋体"/>
                <w:color w:val="auto"/>
                <w:sz w:val="24"/>
                <w:szCs w:val="24"/>
              </w:rPr>
              <w:t>分。（提供监理合同或工程接收证书或工程竣工验收证书（单位工程竣工验收单）或工程竣工验收备案证复印件加盖单位公章，不能完全反映上述考核内容的，可以提供其它相关证明文件的原件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9" w:hRule="atLeast"/>
        </w:trPr>
        <w:tc>
          <w:tcPr>
            <w:tcW w:w="891"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napToGrid/>
              <w:spacing w:line="330" w:lineRule="exact"/>
              <w:jc w:val="left"/>
              <w:textAlignment w:val="auto"/>
              <w:rPr>
                <w:rFonts w:hint="eastAsia" w:ascii="宋体" w:hAnsi="宋体" w:eastAsia="宋体" w:cs="宋体"/>
                <w:color w:val="auto"/>
                <w:kern w:val="0"/>
                <w:sz w:val="24"/>
                <w:szCs w:val="24"/>
                <w:highlight w:val="none"/>
              </w:rPr>
            </w:pPr>
          </w:p>
        </w:tc>
        <w:tc>
          <w:tcPr>
            <w:tcW w:w="1530" w:type="dxa"/>
            <w:tcBorders>
              <w:top w:val="single" w:color="auto" w:sz="4" w:space="0"/>
              <w:left w:val="single" w:color="auto" w:sz="4" w:space="0"/>
              <w:bottom w:val="single" w:color="auto" w:sz="4" w:space="0"/>
              <w:right w:val="single" w:color="auto" w:sz="4" w:space="0"/>
            </w:tcBorders>
            <w:noWrap w:val="0"/>
            <w:vAlign w:val="center"/>
          </w:tcPr>
          <w:p>
            <w:pPr>
              <w:pStyle w:val="32"/>
              <w:keepNext w:val="0"/>
              <w:keepLines w:val="0"/>
              <w:pageBreakBefore w:val="0"/>
              <w:kinsoku/>
              <w:wordWrap/>
              <w:overflowPunct/>
              <w:topLinePunct w:val="0"/>
              <w:bidi w:val="0"/>
              <w:adjustRightInd/>
              <w:snapToGrid/>
              <w:spacing w:line="330" w:lineRule="exact"/>
              <w:ind w:left="0" w:leftChars="0" w:right="0" w:rightChars="0"/>
              <w:jc w:val="center"/>
              <w:textAlignment w:val="auto"/>
              <w:rPr>
                <w:color w:val="auto"/>
                <w:sz w:val="24"/>
                <w:szCs w:val="24"/>
              </w:rPr>
            </w:pPr>
            <w:r>
              <w:rPr>
                <w:rFonts w:hint="eastAsia" w:ascii="宋体" w:hAnsi="宋体" w:eastAsia="宋体" w:cs="宋体"/>
                <w:color w:val="auto"/>
                <w:kern w:val="2"/>
                <w:sz w:val="24"/>
                <w:szCs w:val="24"/>
                <w:highlight w:val="none"/>
                <w:lang w:val="en-US" w:eastAsia="zh-CN" w:bidi="ar-SA"/>
              </w:rPr>
              <w:t>总监业绩</w:t>
            </w:r>
          </w:p>
        </w:tc>
        <w:tc>
          <w:tcPr>
            <w:tcW w:w="558"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pStyle w:val="32"/>
              <w:keepNext w:val="0"/>
              <w:keepLines w:val="0"/>
              <w:pageBreakBefore w:val="0"/>
              <w:kinsoku/>
              <w:wordWrap/>
              <w:overflowPunct/>
              <w:topLinePunct w:val="0"/>
              <w:bidi w:val="0"/>
              <w:adjustRightInd/>
              <w:snapToGrid/>
              <w:spacing w:line="33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w:t>
            </w:r>
          </w:p>
        </w:tc>
        <w:tc>
          <w:tcPr>
            <w:tcW w:w="6059"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pStyle w:val="32"/>
              <w:keepNext w:val="0"/>
              <w:keepLines w:val="0"/>
              <w:pageBreakBefore w:val="0"/>
              <w:kinsoku/>
              <w:wordWrap/>
              <w:overflowPunct/>
              <w:topLinePunct w:val="0"/>
              <w:bidi w:val="0"/>
              <w:adjustRightInd/>
              <w:snapToGrid/>
              <w:spacing w:line="330" w:lineRule="exact"/>
              <w:ind w:left="0" w:leftChars="0" w:right="0" w:rightChars="0"/>
              <w:textAlignment w:val="auto"/>
              <w:rPr>
                <w:rFonts w:hint="eastAsia" w:ascii="宋体" w:hAnsi="宋体"/>
                <w:color w:val="auto"/>
                <w:sz w:val="24"/>
                <w:szCs w:val="24"/>
              </w:rPr>
            </w:pPr>
            <w:r>
              <w:rPr>
                <w:rFonts w:hint="eastAsia" w:ascii="宋体" w:hAnsi="宋体" w:eastAsia="宋体" w:cs="宋体"/>
                <w:color w:val="auto"/>
                <w:kern w:val="2"/>
                <w:sz w:val="24"/>
                <w:szCs w:val="24"/>
                <w:highlight w:val="none"/>
                <w:lang w:val="en-US" w:eastAsia="zh-CN" w:bidi="ar-SA"/>
              </w:rPr>
              <w:t>总监理工程师</w:t>
            </w:r>
            <w:r>
              <w:rPr>
                <w:rFonts w:hint="eastAsia" w:ascii="宋体" w:hAnsi="宋体" w:eastAsia="宋体" w:cs="宋体"/>
                <w:color w:val="auto"/>
                <w:kern w:val="2"/>
                <w:sz w:val="24"/>
                <w:szCs w:val="24"/>
                <w:highlight w:val="none"/>
                <w:lang w:val="zh-CN" w:eastAsia="zh-CN" w:bidi="ar-SA"/>
              </w:rPr>
              <w:t>近</w:t>
            </w:r>
            <w:r>
              <w:rPr>
                <w:rFonts w:hint="eastAsia" w:ascii="宋体" w:hAnsi="宋体" w:eastAsia="宋体" w:cs="宋体"/>
                <w:color w:val="auto"/>
                <w:kern w:val="2"/>
                <w:sz w:val="24"/>
                <w:szCs w:val="24"/>
                <w:highlight w:val="none"/>
                <w:lang w:val="en-US" w:eastAsia="zh-CN" w:bidi="ar-SA"/>
              </w:rPr>
              <w:t>三</w:t>
            </w:r>
            <w:r>
              <w:rPr>
                <w:rFonts w:hint="eastAsia" w:ascii="宋体" w:hAnsi="宋体" w:eastAsia="宋体" w:cs="宋体"/>
                <w:color w:val="auto"/>
                <w:kern w:val="2"/>
                <w:sz w:val="24"/>
                <w:szCs w:val="24"/>
                <w:highlight w:val="none"/>
                <w:lang w:val="zh-CN" w:eastAsia="zh-CN" w:bidi="ar-SA"/>
              </w:rPr>
              <w:t>年（以投标截止时间往前推算）</w:t>
            </w:r>
            <w:r>
              <w:rPr>
                <w:rFonts w:hint="eastAsia" w:ascii="宋体" w:hAnsi="宋体" w:eastAsia="宋体" w:cs="宋体"/>
                <w:color w:val="auto"/>
                <w:kern w:val="2"/>
                <w:sz w:val="24"/>
                <w:szCs w:val="24"/>
                <w:highlight w:val="none"/>
                <w:lang w:val="en-US" w:eastAsia="zh-CN" w:bidi="ar-SA"/>
              </w:rPr>
              <w:t>监理完成的类似监理业绩的,提供一个得</w:t>
            </w:r>
            <w:r>
              <w:rPr>
                <w:rFonts w:hint="eastAsia" w:ascii="宋体" w:hAnsi="宋体" w:cs="宋体"/>
                <w:color w:val="auto"/>
                <w:kern w:val="2"/>
                <w:sz w:val="24"/>
                <w:szCs w:val="24"/>
                <w:highlight w:val="none"/>
                <w:lang w:val="en-US" w:eastAsia="zh-CN" w:bidi="ar-SA"/>
              </w:rPr>
              <w:t>3</w:t>
            </w:r>
            <w:r>
              <w:rPr>
                <w:rFonts w:hint="eastAsia" w:ascii="宋体" w:hAnsi="宋体" w:eastAsia="宋体" w:cs="宋体"/>
                <w:color w:val="auto"/>
                <w:kern w:val="2"/>
                <w:sz w:val="24"/>
                <w:szCs w:val="24"/>
                <w:highlight w:val="none"/>
                <w:lang w:val="en-US" w:eastAsia="zh-CN" w:bidi="ar-SA"/>
              </w:rPr>
              <w:t>分，最高得</w:t>
            </w:r>
            <w:r>
              <w:rPr>
                <w:rFonts w:hint="eastAsia" w:ascii="宋体" w:hAnsi="宋体" w:cs="宋体"/>
                <w:color w:val="auto"/>
                <w:kern w:val="2"/>
                <w:sz w:val="24"/>
                <w:szCs w:val="24"/>
                <w:highlight w:val="none"/>
                <w:lang w:val="en-US" w:eastAsia="zh-CN" w:bidi="ar-SA"/>
              </w:rPr>
              <w:t>6</w:t>
            </w:r>
            <w:r>
              <w:rPr>
                <w:rFonts w:hint="eastAsia" w:ascii="宋体" w:hAnsi="宋体" w:eastAsia="宋体" w:cs="宋体"/>
                <w:color w:val="auto"/>
                <w:kern w:val="2"/>
                <w:sz w:val="24"/>
                <w:szCs w:val="24"/>
                <w:highlight w:val="none"/>
                <w:lang w:val="en-US" w:eastAsia="zh-CN" w:bidi="ar-SA"/>
              </w:rPr>
              <w:t>分。（以提供的项目合同或中标（成交）通知书复印件并加盖公章为准，未提供不得分，以合同时间为准)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4" w:hRule="atLeast"/>
        </w:trPr>
        <w:tc>
          <w:tcPr>
            <w:tcW w:w="891" w:type="dxa"/>
            <w:vMerge w:val="restart"/>
            <w:tcBorders>
              <w:left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napToGrid/>
              <w:spacing w:line="330" w:lineRule="exact"/>
              <w:jc w:val="left"/>
              <w:textAlignment w:val="auto"/>
              <w:rPr>
                <w:rFonts w:hint="eastAsia" w:ascii="宋体" w:hAnsi="宋体" w:eastAsia="宋体" w:cs="宋体"/>
                <w:color w:val="auto"/>
                <w:kern w:val="0"/>
                <w:sz w:val="24"/>
                <w:szCs w:val="24"/>
                <w:highlight w:val="none"/>
              </w:rPr>
            </w:pPr>
          </w:p>
          <w:p>
            <w:pPr>
              <w:keepNext w:val="0"/>
              <w:keepLines w:val="0"/>
              <w:pageBreakBefore w:val="0"/>
              <w:widowControl/>
              <w:kinsoku/>
              <w:wordWrap/>
              <w:overflowPunct/>
              <w:topLinePunct w:val="0"/>
              <w:bidi w:val="0"/>
              <w:adjustRightInd/>
              <w:snapToGrid/>
              <w:spacing w:line="330" w:lineRule="exact"/>
              <w:jc w:val="left"/>
              <w:textAlignment w:val="auto"/>
              <w:rPr>
                <w:rFonts w:hint="eastAsia" w:ascii="宋体" w:hAnsi="宋体" w:eastAsia="宋体" w:cs="宋体"/>
                <w:color w:val="auto"/>
                <w:kern w:val="0"/>
                <w:sz w:val="24"/>
                <w:szCs w:val="24"/>
                <w:highlight w:val="none"/>
              </w:rPr>
            </w:pPr>
          </w:p>
          <w:p>
            <w:pPr>
              <w:keepNext w:val="0"/>
              <w:keepLines w:val="0"/>
              <w:pageBreakBefore w:val="0"/>
              <w:widowControl/>
              <w:kinsoku/>
              <w:wordWrap/>
              <w:overflowPunct/>
              <w:topLinePunct w:val="0"/>
              <w:bidi w:val="0"/>
              <w:adjustRightInd/>
              <w:snapToGrid/>
              <w:spacing w:line="33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技术部分评分标准（</w:t>
            </w:r>
            <w:r>
              <w:rPr>
                <w:rFonts w:hint="eastAsia" w:ascii="宋体" w:hAnsi="宋体" w:cs="宋体"/>
                <w:color w:val="auto"/>
                <w:kern w:val="0"/>
                <w:sz w:val="24"/>
                <w:szCs w:val="24"/>
                <w:highlight w:val="none"/>
                <w:lang w:val="en-US" w:eastAsia="zh-CN"/>
              </w:rPr>
              <w:t>53</w:t>
            </w:r>
            <w:r>
              <w:rPr>
                <w:rFonts w:hint="eastAsia" w:ascii="宋体" w:hAnsi="宋体" w:eastAsia="宋体" w:cs="宋体"/>
                <w:color w:val="auto"/>
                <w:kern w:val="0"/>
                <w:sz w:val="24"/>
                <w:szCs w:val="24"/>
                <w:highlight w:val="none"/>
              </w:rPr>
              <w:t>分）</w:t>
            </w:r>
          </w:p>
        </w:tc>
        <w:tc>
          <w:tcPr>
            <w:tcW w:w="1530" w:type="dxa"/>
            <w:tcBorders>
              <w:top w:val="single" w:color="auto" w:sz="4" w:space="0"/>
              <w:left w:val="single" w:color="auto" w:sz="4" w:space="0"/>
              <w:bottom w:val="single" w:color="auto" w:sz="4" w:space="0"/>
              <w:right w:val="single" w:color="auto" w:sz="4" w:space="0"/>
            </w:tcBorders>
            <w:noWrap w:val="0"/>
            <w:vAlign w:val="center"/>
          </w:tcPr>
          <w:p>
            <w:pPr>
              <w:pStyle w:val="32"/>
              <w:keepNext w:val="0"/>
              <w:keepLines w:val="0"/>
              <w:pageBreakBefore w:val="0"/>
              <w:kinsoku/>
              <w:wordWrap/>
              <w:overflowPunct/>
              <w:topLinePunct w:val="0"/>
              <w:bidi w:val="0"/>
              <w:adjustRightInd/>
              <w:snapToGrid/>
              <w:spacing w:line="330" w:lineRule="exact"/>
              <w:ind w:left="0" w:leftChars="0" w:right="0" w:rightChars="0"/>
              <w:jc w:val="center"/>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en-US" w:eastAsia="zh-CN" w:bidi="ar-SA"/>
              </w:rPr>
              <w:t>工程概况</w:t>
            </w:r>
          </w:p>
        </w:tc>
        <w:tc>
          <w:tcPr>
            <w:tcW w:w="558"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pStyle w:val="32"/>
              <w:keepNext w:val="0"/>
              <w:keepLines w:val="0"/>
              <w:pageBreakBefore w:val="0"/>
              <w:kinsoku/>
              <w:wordWrap/>
              <w:overflowPunct/>
              <w:topLinePunct w:val="0"/>
              <w:bidi w:val="0"/>
              <w:adjustRightInd/>
              <w:snapToGrid/>
              <w:spacing w:line="33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w:t>
            </w:r>
          </w:p>
        </w:tc>
        <w:tc>
          <w:tcPr>
            <w:tcW w:w="6059"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top"/>
          </w:tcPr>
          <w:p>
            <w:pPr>
              <w:pStyle w:val="32"/>
              <w:keepNext w:val="0"/>
              <w:keepLines w:val="0"/>
              <w:pageBreakBefore w:val="0"/>
              <w:kinsoku/>
              <w:wordWrap/>
              <w:overflowPunct/>
              <w:topLinePunct w:val="0"/>
              <w:bidi w:val="0"/>
              <w:adjustRightInd/>
              <w:snapToGrid/>
              <w:spacing w:line="330" w:lineRule="exact"/>
              <w:ind w:left="0" w:leftChars="0" w:right="0" w:right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工程概况表述清楚，准确</w:t>
            </w:r>
            <w:r>
              <w:rPr>
                <w:rFonts w:hint="eastAsia" w:ascii="宋体" w:hAnsi="宋体" w:eastAsia="宋体" w:cs="宋体"/>
                <w:color w:val="auto"/>
                <w:kern w:val="2"/>
                <w:sz w:val="24"/>
                <w:szCs w:val="24"/>
                <w:highlight w:val="none"/>
                <w:lang w:val="en-US" w:eastAsia="zh-CN" w:bidi="ar-SA"/>
              </w:rPr>
              <w:t>完整</w:t>
            </w:r>
            <w:r>
              <w:rPr>
                <w:rFonts w:hint="eastAsia" w:ascii="宋体" w:hAnsi="宋体" w:eastAsia="宋体" w:cs="宋体"/>
                <w:color w:val="auto"/>
                <w:kern w:val="2"/>
                <w:sz w:val="24"/>
                <w:szCs w:val="24"/>
                <w:highlight w:val="none"/>
                <w:lang w:val="zh-CN" w:eastAsia="zh-CN" w:bidi="ar-SA"/>
              </w:rPr>
              <w:t>得</w:t>
            </w:r>
            <w:r>
              <w:rPr>
                <w:rFonts w:hint="eastAsia" w:ascii="宋体" w:hAnsi="宋体" w:cs="宋体"/>
                <w:color w:val="auto"/>
                <w:kern w:val="2"/>
                <w:sz w:val="24"/>
                <w:szCs w:val="24"/>
                <w:highlight w:val="none"/>
                <w:lang w:val="en-US" w:eastAsia="zh-CN" w:bidi="ar-SA"/>
              </w:rPr>
              <w:t>2</w:t>
            </w:r>
            <w:r>
              <w:rPr>
                <w:rFonts w:hint="eastAsia" w:ascii="宋体" w:hAnsi="宋体" w:eastAsia="宋体" w:cs="宋体"/>
                <w:color w:val="auto"/>
                <w:kern w:val="2"/>
                <w:sz w:val="24"/>
                <w:szCs w:val="24"/>
                <w:highlight w:val="none"/>
                <w:lang w:val="zh-CN" w:eastAsia="zh-CN" w:bidi="ar-SA"/>
              </w:rPr>
              <w:t>分；工程概况表述基本清楚，基本准确得1分；工程概况表述不清楚、不准确</w:t>
            </w:r>
            <w:r>
              <w:rPr>
                <w:rFonts w:hint="eastAsia" w:ascii="宋体" w:hAnsi="宋体" w:eastAsia="宋体" w:cs="宋体"/>
                <w:color w:val="auto"/>
                <w:kern w:val="2"/>
                <w:sz w:val="24"/>
                <w:szCs w:val="24"/>
                <w:highlight w:val="none"/>
                <w:lang w:val="en-US" w:eastAsia="zh-CN" w:bidi="ar-SA"/>
              </w:rPr>
              <w:t>的或未提供不得</w:t>
            </w:r>
            <w:r>
              <w:rPr>
                <w:rFonts w:hint="eastAsia" w:ascii="宋体" w:hAnsi="宋体" w:eastAsia="宋体" w:cs="宋体"/>
                <w:color w:val="auto"/>
                <w:kern w:val="2"/>
                <w:sz w:val="24"/>
                <w:szCs w:val="24"/>
                <w:highlight w:val="none"/>
                <w:lang w:val="zh-CN" w:eastAsia="zh-CN" w:bidi="ar-SA"/>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91"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napToGrid/>
              <w:spacing w:line="330" w:lineRule="exact"/>
              <w:jc w:val="left"/>
              <w:textAlignment w:val="auto"/>
              <w:rPr>
                <w:rFonts w:hint="eastAsia" w:ascii="宋体" w:hAnsi="宋体" w:eastAsia="宋体" w:cs="宋体"/>
                <w:color w:val="auto"/>
                <w:kern w:val="0"/>
                <w:sz w:val="24"/>
                <w:szCs w:val="24"/>
                <w:highlight w:val="none"/>
              </w:rPr>
            </w:pPr>
          </w:p>
        </w:tc>
        <w:tc>
          <w:tcPr>
            <w:tcW w:w="1530" w:type="dxa"/>
            <w:tcBorders>
              <w:top w:val="single" w:color="auto" w:sz="4" w:space="0"/>
              <w:left w:val="single" w:color="auto" w:sz="4" w:space="0"/>
              <w:bottom w:val="single" w:color="auto" w:sz="4" w:space="0"/>
              <w:right w:val="single" w:color="auto" w:sz="4" w:space="0"/>
            </w:tcBorders>
            <w:noWrap w:val="0"/>
            <w:vAlign w:val="center"/>
          </w:tcPr>
          <w:p>
            <w:pPr>
              <w:pStyle w:val="32"/>
              <w:keepNext w:val="0"/>
              <w:keepLines w:val="0"/>
              <w:pageBreakBefore w:val="0"/>
              <w:kinsoku/>
              <w:wordWrap/>
              <w:overflowPunct/>
              <w:topLinePunct w:val="0"/>
              <w:bidi w:val="0"/>
              <w:adjustRightInd/>
              <w:snapToGrid/>
              <w:spacing w:line="330" w:lineRule="exact"/>
              <w:ind w:left="0" w:leftChars="0" w:right="0" w:rightChars="0"/>
              <w:jc w:val="center"/>
              <w:textAlignment w:val="auto"/>
              <w:rPr>
                <w:rFonts w:hint="eastAsia" w:ascii="宋体" w:hAnsi="宋体" w:eastAsia="宋体" w:cs="宋体"/>
                <w:color w:val="auto"/>
                <w:kern w:val="2"/>
                <w:sz w:val="24"/>
                <w:szCs w:val="24"/>
                <w:highlight w:val="none"/>
                <w:lang w:val="zh-CN" w:eastAsia="zh-CN" w:bidi="ar-SA"/>
              </w:rPr>
            </w:pPr>
            <w:r>
              <w:rPr>
                <w:rFonts w:ascii="宋体" w:hAnsi="宋体"/>
                <w:color w:val="auto"/>
                <w:sz w:val="24"/>
                <w:szCs w:val="24"/>
              </w:rPr>
              <w:t>监理工作的范围、内容、目标</w:t>
            </w:r>
          </w:p>
        </w:tc>
        <w:tc>
          <w:tcPr>
            <w:tcW w:w="558"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pStyle w:val="32"/>
              <w:keepNext w:val="0"/>
              <w:keepLines w:val="0"/>
              <w:pageBreakBefore w:val="0"/>
              <w:kinsoku/>
              <w:wordWrap/>
              <w:overflowPunct/>
              <w:topLinePunct w:val="0"/>
              <w:bidi w:val="0"/>
              <w:adjustRightInd/>
              <w:snapToGrid/>
              <w:spacing w:line="33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w:t>
            </w:r>
          </w:p>
        </w:tc>
        <w:tc>
          <w:tcPr>
            <w:tcW w:w="6059"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top"/>
          </w:tcPr>
          <w:p>
            <w:pPr>
              <w:pStyle w:val="32"/>
              <w:keepNext w:val="0"/>
              <w:keepLines w:val="0"/>
              <w:pageBreakBefore w:val="0"/>
              <w:kinsoku/>
              <w:wordWrap/>
              <w:overflowPunct/>
              <w:topLinePunct w:val="0"/>
              <w:bidi w:val="0"/>
              <w:adjustRightInd/>
              <w:snapToGrid/>
              <w:spacing w:line="330" w:lineRule="exact"/>
              <w:ind w:left="0" w:leftChars="0" w:right="0" w:rightChars="0"/>
              <w:textAlignment w:val="auto"/>
              <w:rPr>
                <w:rFonts w:hint="default" w:ascii="宋体" w:hAnsi="宋体" w:eastAsia="宋体"/>
                <w:color w:val="auto"/>
                <w:kern w:val="0"/>
                <w:sz w:val="24"/>
                <w:szCs w:val="24"/>
                <w:lang w:val="en-US" w:eastAsia="zh-CN"/>
              </w:rPr>
            </w:pPr>
            <w:r>
              <w:rPr>
                <w:rFonts w:hint="eastAsia" w:ascii="宋体" w:hAnsi="宋体"/>
                <w:color w:val="auto"/>
                <w:kern w:val="0"/>
                <w:sz w:val="24"/>
                <w:szCs w:val="24"/>
                <w:lang w:val="en-US" w:eastAsia="zh-CN"/>
              </w:rPr>
              <w:t>磋商小组根据供应商提供的监理工作的范围、内容、目标进行评分。各项内容齐全且描述详尽、切合项目实际得2分，每有一项内容不合理或不可行扣1分，扣完为止。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891"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napToGrid/>
              <w:spacing w:line="330" w:lineRule="exact"/>
              <w:jc w:val="left"/>
              <w:textAlignment w:val="auto"/>
              <w:rPr>
                <w:rFonts w:hint="eastAsia" w:ascii="宋体" w:hAnsi="宋体" w:eastAsia="宋体" w:cs="宋体"/>
                <w:color w:val="auto"/>
                <w:kern w:val="0"/>
                <w:sz w:val="24"/>
                <w:szCs w:val="24"/>
                <w:highlight w:val="none"/>
              </w:rPr>
            </w:pPr>
          </w:p>
        </w:tc>
        <w:tc>
          <w:tcPr>
            <w:tcW w:w="1530" w:type="dxa"/>
            <w:tcBorders>
              <w:top w:val="single" w:color="auto" w:sz="4" w:space="0"/>
              <w:left w:val="single" w:color="auto" w:sz="4" w:space="0"/>
              <w:bottom w:val="single" w:color="auto" w:sz="4" w:space="0"/>
              <w:right w:val="single" w:color="auto" w:sz="4" w:space="0"/>
            </w:tcBorders>
            <w:noWrap w:val="0"/>
            <w:vAlign w:val="center"/>
          </w:tcPr>
          <w:p>
            <w:pPr>
              <w:pStyle w:val="32"/>
              <w:keepNext w:val="0"/>
              <w:keepLines w:val="0"/>
              <w:pageBreakBefore w:val="0"/>
              <w:kinsoku/>
              <w:wordWrap/>
              <w:overflowPunct/>
              <w:topLinePunct w:val="0"/>
              <w:bidi w:val="0"/>
              <w:adjustRightInd/>
              <w:snapToGrid/>
              <w:spacing w:line="330" w:lineRule="exact"/>
              <w:ind w:left="0" w:leftChars="0" w:right="0" w:rightChars="0"/>
              <w:jc w:val="center"/>
              <w:textAlignment w:val="auto"/>
              <w:rPr>
                <w:rFonts w:ascii="宋体" w:hAnsi="宋体"/>
                <w:color w:val="auto"/>
                <w:sz w:val="24"/>
                <w:szCs w:val="24"/>
              </w:rPr>
            </w:pPr>
            <w:r>
              <w:rPr>
                <w:rFonts w:ascii="宋体" w:hAnsi="宋体"/>
                <w:color w:val="auto"/>
                <w:sz w:val="24"/>
                <w:szCs w:val="24"/>
              </w:rPr>
              <w:t>监理工作</w:t>
            </w:r>
          </w:p>
          <w:p>
            <w:pPr>
              <w:pStyle w:val="32"/>
              <w:keepNext w:val="0"/>
              <w:keepLines w:val="0"/>
              <w:pageBreakBefore w:val="0"/>
              <w:kinsoku/>
              <w:wordWrap/>
              <w:overflowPunct/>
              <w:topLinePunct w:val="0"/>
              <w:bidi w:val="0"/>
              <w:adjustRightInd/>
              <w:snapToGrid/>
              <w:spacing w:line="33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ascii="宋体" w:hAnsi="宋体"/>
                <w:color w:val="auto"/>
                <w:sz w:val="24"/>
                <w:szCs w:val="24"/>
              </w:rPr>
              <w:t>依据</w:t>
            </w:r>
          </w:p>
        </w:tc>
        <w:tc>
          <w:tcPr>
            <w:tcW w:w="558"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pStyle w:val="32"/>
              <w:keepNext w:val="0"/>
              <w:keepLines w:val="0"/>
              <w:pageBreakBefore w:val="0"/>
              <w:kinsoku/>
              <w:wordWrap/>
              <w:overflowPunct/>
              <w:topLinePunct w:val="0"/>
              <w:bidi w:val="0"/>
              <w:adjustRightInd/>
              <w:snapToGrid/>
              <w:spacing w:line="33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w:t>
            </w:r>
          </w:p>
        </w:tc>
        <w:tc>
          <w:tcPr>
            <w:tcW w:w="6059"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top"/>
          </w:tcPr>
          <w:p>
            <w:pPr>
              <w:pStyle w:val="32"/>
              <w:keepNext w:val="0"/>
              <w:keepLines w:val="0"/>
              <w:pageBreakBefore w:val="0"/>
              <w:kinsoku/>
              <w:wordWrap/>
              <w:overflowPunct/>
              <w:topLinePunct w:val="0"/>
              <w:bidi w:val="0"/>
              <w:adjustRightInd/>
              <w:snapToGrid/>
              <w:spacing w:line="330" w:lineRule="exact"/>
              <w:ind w:left="0" w:leftChars="0" w:right="0" w:rightChars="0"/>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olor w:val="auto"/>
                <w:kern w:val="0"/>
                <w:sz w:val="24"/>
                <w:szCs w:val="24"/>
                <w:lang w:val="en-US" w:eastAsia="zh-CN"/>
              </w:rPr>
              <w:t>磋商小组根据供应商提供的监理工作</w:t>
            </w:r>
            <w:r>
              <w:rPr>
                <w:rFonts w:ascii="宋体" w:hAnsi="宋体"/>
                <w:color w:val="auto"/>
                <w:kern w:val="0"/>
                <w:sz w:val="24"/>
                <w:szCs w:val="24"/>
              </w:rPr>
              <w:t>依据</w:t>
            </w:r>
            <w:r>
              <w:rPr>
                <w:rFonts w:hint="eastAsia" w:ascii="宋体" w:hAnsi="宋体"/>
                <w:color w:val="auto"/>
                <w:kern w:val="0"/>
                <w:sz w:val="24"/>
                <w:szCs w:val="24"/>
                <w:lang w:val="en-US" w:eastAsia="zh-CN"/>
              </w:rPr>
              <w:t>进行评分</w:t>
            </w:r>
            <w:r>
              <w:rPr>
                <w:rFonts w:hint="eastAsia" w:ascii="宋体" w:hAnsi="宋体"/>
                <w:color w:val="auto"/>
                <w:kern w:val="0"/>
                <w:sz w:val="24"/>
                <w:szCs w:val="24"/>
                <w:lang w:eastAsia="zh-CN"/>
              </w:rPr>
              <w:t>，</w:t>
            </w:r>
            <w:r>
              <w:rPr>
                <w:rFonts w:hint="eastAsia" w:ascii="宋体" w:hAnsi="宋体"/>
                <w:color w:val="auto"/>
                <w:kern w:val="0"/>
                <w:sz w:val="24"/>
                <w:szCs w:val="24"/>
                <w:lang w:val="en-US" w:eastAsia="zh-CN"/>
              </w:rPr>
              <w:t>各项内容齐全且描述详尽、切合项目实际得3分，每有一项内容不合理或不可行扣1分，扣完为止。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891"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napToGrid/>
              <w:spacing w:line="330" w:lineRule="exact"/>
              <w:jc w:val="left"/>
              <w:textAlignment w:val="auto"/>
              <w:rPr>
                <w:rFonts w:hint="eastAsia" w:ascii="宋体" w:hAnsi="宋体" w:eastAsia="宋体" w:cs="宋体"/>
                <w:color w:val="auto"/>
                <w:kern w:val="0"/>
                <w:sz w:val="24"/>
                <w:szCs w:val="24"/>
                <w:highlight w:val="none"/>
              </w:rPr>
            </w:pPr>
          </w:p>
        </w:tc>
        <w:tc>
          <w:tcPr>
            <w:tcW w:w="1530" w:type="dxa"/>
            <w:tcBorders>
              <w:top w:val="single" w:color="auto" w:sz="4" w:space="0"/>
              <w:left w:val="single" w:color="auto" w:sz="4" w:space="0"/>
              <w:bottom w:val="single" w:color="auto" w:sz="4" w:space="0"/>
              <w:right w:val="single" w:color="auto" w:sz="4" w:space="0"/>
            </w:tcBorders>
            <w:noWrap w:val="0"/>
            <w:vAlign w:val="center"/>
          </w:tcPr>
          <w:p>
            <w:pPr>
              <w:pStyle w:val="32"/>
              <w:keepNext w:val="0"/>
              <w:keepLines w:val="0"/>
              <w:pageBreakBefore w:val="0"/>
              <w:kinsoku/>
              <w:wordWrap/>
              <w:overflowPunct/>
              <w:topLinePunct w:val="0"/>
              <w:bidi w:val="0"/>
              <w:adjustRightInd/>
              <w:snapToGrid/>
              <w:spacing w:line="33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ascii="宋体" w:hAnsi="宋体"/>
                <w:color w:val="auto"/>
                <w:sz w:val="24"/>
                <w:szCs w:val="24"/>
              </w:rPr>
              <w:t>监理组织形式、监理人员岗位职责</w:t>
            </w:r>
          </w:p>
        </w:tc>
        <w:tc>
          <w:tcPr>
            <w:tcW w:w="558"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pStyle w:val="32"/>
              <w:keepNext w:val="0"/>
              <w:keepLines w:val="0"/>
              <w:pageBreakBefore w:val="0"/>
              <w:kinsoku/>
              <w:wordWrap/>
              <w:overflowPunct/>
              <w:topLinePunct w:val="0"/>
              <w:bidi w:val="0"/>
              <w:adjustRightInd/>
              <w:snapToGrid/>
              <w:spacing w:line="33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w:t>
            </w:r>
          </w:p>
        </w:tc>
        <w:tc>
          <w:tcPr>
            <w:tcW w:w="6059"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top"/>
          </w:tcPr>
          <w:p>
            <w:pPr>
              <w:pStyle w:val="32"/>
              <w:keepNext w:val="0"/>
              <w:keepLines w:val="0"/>
              <w:pageBreakBefore w:val="0"/>
              <w:kinsoku/>
              <w:wordWrap/>
              <w:overflowPunct/>
              <w:topLinePunct w:val="0"/>
              <w:bidi w:val="0"/>
              <w:adjustRightInd/>
              <w:snapToGrid/>
              <w:spacing w:line="330" w:lineRule="exact"/>
              <w:ind w:left="0" w:leftChars="0" w:right="0" w:rightChars="0"/>
              <w:textAlignment w:val="auto"/>
              <w:rPr>
                <w:rFonts w:hint="default" w:ascii="宋体" w:hAnsi="宋体" w:eastAsia="宋体" w:cs="宋体"/>
                <w:color w:val="auto"/>
                <w:kern w:val="2"/>
                <w:sz w:val="24"/>
                <w:szCs w:val="24"/>
                <w:highlight w:val="none"/>
                <w:lang w:val="en-US" w:eastAsia="zh-CN" w:bidi="ar-SA"/>
              </w:rPr>
            </w:pPr>
            <w:r>
              <w:rPr>
                <w:rFonts w:ascii="宋体" w:hAnsi="宋体"/>
                <w:color w:val="auto"/>
                <w:kern w:val="0"/>
                <w:sz w:val="24"/>
                <w:szCs w:val="24"/>
              </w:rPr>
              <w:t>磋商小组根据其监理组织形式、监理人员岗位职责</w:t>
            </w:r>
            <w:r>
              <w:rPr>
                <w:rFonts w:hint="eastAsia" w:ascii="宋体" w:hAnsi="宋体"/>
                <w:color w:val="auto"/>
                <w:kern w:val="0"/>
                <w:sz w:val="24"/>
                <w:szCs w:val="24"/>
                <w:lang w:eastAsia="zh-CN"/>
              </w:rPr>
              <w:t>，</w:t>
            </w:r>
            <w:r>
              <w:rPr>
                <w:rFonts w:hint="eastAsia" w:ascii="宋体" w:hAnsi="宋体"/>
                <w:color w:val="auto"/>
                <w:kern w:val="0"/>
                <w:sz w:val="24"/>
                <w:szCs w:val="24"/>
                <w:lang w:val="en-US" w:eastAsia="zh-CN"/>
              </w:rPr>
              <w:t>各项内容齐全且描述详尽、切合项目实际得5分，每有一项内容不合理或不可行扣1分，扣完为止。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4" w:hRule="atLeast"/>
        </w:trPr>
        <w:tc>
          <w:tcPr>
            <w:tcW w:w="891"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napToGrid/>
              <w:spacing w:line="330" w:lineRule="exact"/>
              <w:jc w:val="left"/>
              <w:textAlignment w:val="auto"/>
              <w:rPr>
                <w:rFonts w:hint="eastAsia" w:ascii="宋体" w:hAnsi="宋体" w:eastAsia="宋体" w:cs="宋体"/>
                <w:color w:val="auto"/>
                <w:kern w:val="0"/>
                <w:sz w:val="24"/>
                <w:szCs w:val="24"/>
                <w:highlight w:val="none"/>
              </w:rPr>
            </w:pPr>
          </w:p>
        </w:tc>
        <w:tc>
          <w:tcPr>
            <w:tcW w:w="153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overflowPunct/>
              <w:topLinePunct w:val="0"/>
              <w:bidi w:val="0"/>
              <w:adjustRightInd/>
              <w:snapToGrid/>
              <w:spacing w:line="330" w:lineRule="exact"/>
              <w:jc w:val="center"/>
              <w:textAlignment w:val="auto"/>
              <w:rPr>
                <w:rFonts w:hint="eastAsia" w:ascii="宋体" w:hAnsi="宋体" w:eastAsia="宋体" w:cs="宋体"/>
                <w:color w:val="auto"/>
                <w:kern w:val="2"/>
                <w:sz w:val="24"/>
                <w:szCs w:val="24"/>
                <w:highlight w:val="none"/>
                <w:lang w:val="en-US" w:eastAsia="zh-CN" w:bidi="ar-SA"/>
              </w:rPr>
            </w:pPr>
            <w:r>
              <w:rPr>
                <w:rFonts w:ascii="宋体" w:hAnsi="宋体"/>
                <w:color w:val="auto"/>
                <w:sz w:val="24"/>
                <w:szCs w:val="24"/>
              </w:rPr>
              <w:t>工程质量控制</w:t>
            </w:r>
            <w:r>
              <w:rPr>
                <w:rFonts w:hint="eastAsia" w:ascii="宋体" w:hAnsi="宋体"/>
                <w:color w:val="auto"/>
                <w:sz w:val="24"/>
                <w:szCs w:val="24"/>
                <w:lang w:val="en-US" w:eastAsia="zh-CN"/>
              </w:rPr>
              <w:t>方案</w:t>
            </w:r>
          </w:p>
        </w:tc>
        <w:tc>
          <w:tcPr>
            <w:tcW w:w="558"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keepNext w:val="0"/>
              <w:keepLines w:val="0"/>
              <w:pageBreakBefore w:val="0"/>
              <w:kinsoku/>
              <w:overflowPunct/>
              <w:topLinePunct w:val="0"/>
              <w:bidi w:val="0"/>
              <w:adjustRightInd/>
              <w:snapToGrid/>
              <w:spacing w:line="33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olor w:val="auto"/>
                <w:kern w:val="0"/>
                <w:sz w:val="24"/>
                <w:szCs w:val="24"/>
                <w:lang w:val="en-US" w:eastAsia="zh-CN"/>
              </w:rPr>
              <w:t>5</w:t>
            </w:r>
          </w:p>
        </w:tc>
        <w:tc>
          <w:tcPr>
            <w:tcW w:w="6059"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keepNext w:val="0"/>
              <w:keepLines w:val="0"/>
              <w:pageBreakBefore w:val="0"/>
              <w:kinsoku/>
              <w:overflowPunct/>
              <w:topLinePunct w:val="0"/>
              <w:bidi w:val="0"/>
              <w:adjustRightInd/>
              <w:snapToGrid/>
              <w:spacing w:line="330" w:lineRule="exact"/>
              <w:ind w:right="-91" w:rightChars="-38"/>
              <w:textAlignment w:val="auto"/>
              <w:rPr>
                <w:rFonts w:hint="eastAsia" w:ascii="宋体" w:hAnsi="宋体" w:eastAsia="宋体" w:cs="宋体"/>
                <w:color w:val="auto"/>
                <w:kern w:val="2"/>
                <w:sz w:val="24"/>
                <w:szCs w:val="24"/>
                <w:highlight w:val="none"/>
                <w:lang w:val="en-US" w:eastAsia="zh-CN" w:bidi="ar-SA"/>
              </w:rPr>
            </w:pPr>
            <w:r>
              <w:rPr>
                <w:rFonts w:ascii="宋体" w:hAnsi="宋体"/>
                <w:color w:val="auto"/>
                <w:kern w:val="0"/>
                <w:sz w:val="24"/>
                <w:szCs w:val="24"/>
              </w:rPr>
              <w:t>磋商小组根据其</w:t>
            </w:r>
            <w:r>
              <w:rPr>
                <w:rFonts w:ascii="宋体" w:hAnsi="宋体"/>
                <w:color w:val="auto"/>
                <w:spacing w:val="9"/>
                <w:sz w:val="24"/>
                <w:szCs w:val="24"/>
              </w:rPr>
              <w:t>工</w:t>
            </w:r>
            <w:r>
              <w:rPr>
                <w:rFonts w:ascii="宋体" w:hAnsi="宋体"/>
                <w:color w:val="auto"/>
                <w:spacing w:val="7"/>
                <w:sz w:val="24"/>
                <w:szCs w:val="24"/>
              </w:rPr>
              <w:t>程质</w:t>
            </w:r>
            <w:r>
              <w:rPr>
                <w:rFonts w:ascii="宋体" w:hAnsi="宋体"/>
                <w:color w:val="auto"/>
                <w:spacing w:val="9"/>
                <w:sz w:val="24"/>
                <w:szCs w:val="24"/>
              </w:rPr>
              <w:t>量</w:t>
            </w:r>
            <w:r>
              <w:rPr>
                <w:rFonts w:ascii="宋体" w:hAnsi="宋体"/>
                <w:color w:val="auto"/>
                <w:sz w:val="24"/>
                <w:szCs w:val="24"/>
              </w:rPr>
              <w:t>控制</w:t>
            </w:r>
            <w:r>
              <w:rPr>
                <w:rFonts w:hint="eastAsia" w:ascii="宋体" w:hAnsi="宋体"/>
                <w:color w:val="auto"/>
                <w:sz w:val="24"/>
                <w:szCs w:val="24"/>
                <w:lang w:val="en-US" w:eastAsia="zh-CN"/>
              </w:rPr>
              <w:t>方案进行评分，各项内容齐全且描述详尽、切合项目实际得5分，</w:t>
            </w:r>
            <w:r>
              <w:rPr>
                <w:rFonts w:hint="eastAsia" w:ascii="宋体" w:hAnsi="宋体"/>
                <w:color w:val="auto"/>
                <w:kern w:val="0"/>
                <w:sz w:val="24"/>
                <w:szCs w:val="24"/>
                <w:lang w:val="en-US" w:eastAsia="zh-CN"/>
              </w:rPr>
              <w:t>每有一项内容不合理或不可行扣1分，扣完为止。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trPr>
        <w:tc>
          <w:tcPr>
            <w:tcW w:w="891"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napToGrid/>
              <w:spacing w:line="330" w:lineRule="exact"/>
              <w:jc w:val="left"/>
              <w:textAlignment w:val="auto"/>
              <w:rPr>
                <w:rFonts w:hint="eastAsia" w:ascii="宋体" w:hAnsi="宋体" w:eastAsia="宋体" w:cs="宋体"/>
                <w:color w:val="auto"/>
                <w:kern w:val="0"/>
                <w:sz w:val="24"/>
                <w:szCs w:val="24"/>
                <w:highlight w:val="none"/>
              </w:rPr>
            </w:pPr>
          </w:p>
        </w:tc>
        <w:tc>
          <w:tcPr>
            <w:tcW w:w="153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overflowPunct/>
              <w:topLinePunct w:val="0"/>
              <w:bidi w:val="0"/>
              <w:adjustRightInd/>
              <w:snapToGrid/>
              <w:spacing w:line="330" w:lineRule="exact"/>
              <w:jc w:val="center"/>
              <w:textAlignment w:val="auto"/>
              <w:rPr>
                <w:rFonts w:hint="eastAsia" w:ascii="宋体" w:hAnsi="宋体" w:eastAsia="宋体" w:cs="宋体"/>
                <w:color w:val="auto"/>
                <w:kern w:val="2"/>
                <w:sz w:val="24"/>
                <w:szCs w:val="24"/>
                <w:highlight w:val="none"/>
                <w:lang w:val="en-US" w:eastAsia="zh-CN" w:bidi="ar-SA"/>
              </w:rPr>
            </w:pPr>
            <w:r>
              <w:rPr>
                <w:rFonts w:ascii="宋体" w:hAnsi="宋体"/>
                <w:color w:val="auto"/>
                <w:sz w:val="24"/>
                <w:szCs w:val="24"/>
              </w:rPr>
              <w:t>工程造价控制</w:t>
            </w:r>
            <w:r>
              <w:rPr>
                <w:rFonts w:hint="eastAsia" w:ascii="宋体" w:hAnsi="宋体"/>
                <w:color w:val="auto"/>
                <w:sz w:val="24"/>
                <w:szCs w:val="24"/>
                <w:lang w:val="en-US" w:eastAsia="zh-CN"/>
              </w:rPr>
              <w:t>方案</w:t>
            </w:r>
          </w:p>
        </w:tc>
        <w:tc>
          <w:tcPr>
            <w:tcW w:w="558"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keepNext w:val="0"/>
              <w:keepLines w:val="0"/>
              <w:pageBreakBefore w:val="0"/>
              <w:kinsoku/>
              <w:overflowPunct/>
              <w:topLinePunct w:val="0"/>
              <w:bidi w:val="0"/>
              <w:adjustRightInd/>
              <w:snapToGrid/>
              <w:spacing w:line="33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olor w:val="auto"/>
                <w:kern w:val="0"/>
                <w:sz w:val="24"/>
                <w:szCs w:val="24"/>
                <w:lang w:val="en-US" w:eastAsia="zh-CN"/>
              </w:rPr>
              <w:t>5</w:t>
            </w:r>
          </w:p>
        </w:tc>
        <w:tc>
          <w:tcPr>
            <w:tcW w:w="6059"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keepNext w:val="0"/>
              <w:keepLines w:val="0"/>
              <w:pageBreakBefore w:val="0"/>
              <w:kinsoku/>
              <w:overflowPunct/>
              <w:topLinePunct w:val="0"/>
              <w:bidi w:val="0"/>
              <w:adjustRightInd/>
              <w:snapToGrid/>
              <w:spacing w:line="330" w:lineRule="exact"/>
              <w:ind w:right="-91" w:rightChars="-38"/>
              <w:textAlignment w:val="auto"/>
              <w:rPr>
                <w:rFonts w:hint="eastAsia" w:ascii="宋体" w:hAnsi="宋体" w:eastAsia="宋体" w:cs="宋体"/>
                <w:color w:val="auto"/>
                <w:kern w:val="2"/>
                <w:sz w:val="24"/>
                <w:szCs w:val="24"/>
                <w:highlight w:val="none"/>
                <w:lang w:val="en-US" w:eastAsia="zh-CN" w:bidi="ar-SA"/>
              </w:rPr>
            </w:pPr>
            <w:r>
              <w:rPr>
                <w:rFonts w:ascii="宋体" w:hAnsi="宋体"/>
                <w:color w:val="auto"/>
                <w:sz w:val="24"/>
                <w:szCs w:val="24"/>
              </w:rPr>
              <w:t>磋商小组根据其</w:t>
            </w:r>
            <w:r>
              <w:rPr>
                <w:rFonts w:ascii="宋体" w:hAnsi="宋体"/>
                <w:color w:val="auto"/>
                <w:spacing w:val="9"/>
                <w:sz w:val="24"/>
                <w:szCs w:val="24"/>
              </w:rPr>
              <w:t>工</w:t>
            </w:r>
            <w:r>
              <w:rPr>
                <w:rFonts w:ascii="宋体" w:hAnsi="宋体"/>
                <w:color w:val="auto"/>
                <w:spacing w:val="7"/>
                <w:sz w:val="24"/>
                <w:szCs w:val="24"/>
              </w:rPr>
              <w:t>程造</w:t>
            </w:r>
            <w:r>
              <w:rPr>
                <w:rFonts w:ascii="宋体" w:hAnsi="宋体"/>
                <w:color w:val="auto"/>
                <w:spacing w:val="9"/>
                <w:sz w:val="24"/>
                <w:szCs w:val="24"/>
              </w:rPr>
              <w:t>价</w:t>
            </w:r>
            <w:r>
              <w:rPr>
                <w:rFonts w:ascii="宋体" w:hAnsi="宋体"/>
                <w:color w:val="auto"/>
                <w:sz w:val="24"/>
                <w:szCs w:val="24"/>
              </w:rPr>
              <w:t>控制</w:t>
            </w:r>
            <w:r>
              <w:rPr>
                <w:rFonts w:hint="eastAsia" w:ascii="宋体" w:hAnsi="宋体"/>
                <w:color w:val="auto"/>
                <w:sz w:val="24"/>
                <w:szCs w:val="24"/>
                <w:lang w:val="en-US" w:eastAsia="zh-CN"/>
              </w:rPr>
              <w:t>方案进行评分，各项内容齐全且描述详尽、切合项目实际得5分，</w:t>
            </w:r>
            <w:r>
              <w:rPr>
                <w:rFonts w:hint="eastAsia" w:ascii="宋体" w:hAnsi="宋体"/>
                <w:color w:val="auto"/>
                <w:kern w:val="0"/>
                <w:sz w:val="24"/>
                <w:szCs w:val="24"/>
                <w:lang w:val="en-US" w:eastAsia="zh-CN"/>
              </w:rPr>
              <w:t>每有一项内容不合理或不可行扣1分，扣完为止。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891"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napToGrid/>
              <w:spacing w:line="330" w:lineRule="exact"/>
              <w:jc w:val="left"/>
              <w:textAlignment w:val="auto"/>
              <w:rPr>
                <w:rFonts w:hint="eastAsia" w:ascii="宋体" w:hAnsi="宋体" w:eastAsia="宋体" w:cs="宋体"/>
                <w:color w:val="auto"/>
                <w:kern w:val="0"/>
                <w:sz w:val="24"/>
                <w:szCs w:val="24"/>
                <w:highlight w:val="none"/>
              </w:rPr>
            </w:pPr>
          </w:p>
        </w:tc>
        <w:tc>
          <w:tcPr>
            <w:tcW w:w="153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overflowPunct/>
              <w:topLinePunct w:val="0"/>
              <w:bidi w:val="0"/>
              <w:adjustRightInd/>
              <w:snapToGrid/>
              <w:spacing w:line="330" w:lineRule="exact"/>
              <w:jc w:val="center"/>
              <w:textAlignment w:val="auto"/>
              <w:rPr>
                <w:rFonts w:hint="eastAsia" w:ascii="宋体" w:hAnsi="宋体" w:eastAsia="宋体" w:cs="宋体"/>
                <w:color w:val="auto"/>
                <w:kern w:val="2"/>
                <w:sz w:val="24"/>
                <w:szCs w:val="24"/>
                <w:highlight w:val="none"/>
                <w:lang w:val="en-US" w:eastAsia="zh-CN" w:bidi="ar-SA"/>
              </w:rPr>
            </w:pPr>
            <w:r>
              <w:rPr>
                <w:rFonts w:ascii="宋体" w:hAnsi="宋体"/>
                <w:color w:val="auto"/>
                <w:sz w:val="24"/>
                <w:szCs w:val="24"/>
              </w:rPr>
              <w:t>工程进度控制</w:t>
            </w:r>
            <w:r>
              <w:rPr>
                <w:rFonts w:hint="eastAsia" w:ascii="宋体" w:hAnsi="宋体"/>
                <w:color w:val="auto"/>
                <w:sz w:val="24"/>
                <w:szCs w:val="24"/>
                <w:lang w:val="en-US" w:eastAsia="zh-CN"/>
              </w:rPr>
              <w:t>方案</w:t>
            </w:r>
          </w:p>
        </w:tc>
        <w:tc>
          <w:tcPr>
            <w:tcW w:w="558"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keepNext w:val="0"/>
              <w:keepLines w:val="0"/>
              <w:pageBreakBefore w:val="0"/>
              <w:kinsoku/>
              <w:overflowPunct/>
              <w:topLinePunct w:val="0"/>
              <w:bidi w:val="0"/>
              <w:adjustRightInd/>
              <w:snapToGrid/>
              <w:spacing w:line="33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olor w:val="auto"/>
                <w:kern w:val="0"/>
                <w:sz w:val="24"/>
                <w:szCs w:val="24"/>
                <w:lang w:val="en-US" w:eastAsia="zh-CN"/>
              </w:rPr>
              <w:t>5</w:t>
            </w:r>
          </w:p>
        </w:tc>
        <w:tc>
          <w:tcPr>
            <w:tcW w:w="6059"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keepNext w:val="0"/>
              <w:keepLines w:val="0"/>
              <w:pageBreakBefore w:val="0"/>
              <w:kinsoku/>
              <w:overflowPunct/>
              <w:topLinePunct w:val="0"/>
              <w:bidi w:val="0"/>
              <w:adjustRightInd/>
              <w:snapToGrid/>
              <w:spacing w:line="330" w:lineRule="exact"/>
              <w:ind w:right="-91" w:rightChars="-38"/>
              <w:textAlignment w:val="auto"/>
              <w:rPr>
                <w:rFonts w:hint="eastAsia" w:ascii="宋体" w:hAnsi="宋体" w:eastAsia="宋体" w:cs="宋体"/>
                <w:color w:val="auto"/>
                <w:kern w:val="2"/>
                <w:sz w:val="24"/>
                <w:szCs w:val="24"/>
                <w:highlight w:val="none"/>
                <w:lang w:val="en-US" w:eastAsia="zh-CN" w:bidi="ar-SA"/>
              </w:rPr>
            </w:pPr>
            <w:r>
              <w:rPr>
                <w:rFonts w:ascii="宋体" w:hAnsi="宋体"/>
                <w:color w:val="auto"/>
                <w:sz w:val="24"/>
                <w:szCs w:val="24"/>
              </w:rPr>
              <w:t>磋商小组根据其</w:t>
            </w:r>
            <w:r>
              <w:rPr>
                <w:rFonts w:ascii="宋体" w:hAnsi="宋体"/>
                <w:color w:val="auto"/>
                <w:spacing w:val="9"/>
                <w:sz w:val="24"/>
                <w:szCs w:val="24"/>
              </w:rPr>
              <w:t>工程进度控制</w:t>
            </w:r>
            <w:r>
              <w:rPr>
                <w:rFonts w:hint="eastAsia" w:ascii="宋体" w:hAnsi="宋体"/>
                <w:color w:val="auto"/>
                <w:sz w:val="24"/>
                <w:szCs w:val="24"/>
                <w:lang w:val="en-US" w:eastAsia="zh-CN"/>
              </w:rPr>
              <w:t>方案进行评分，各项内容齐全且描述详尽、切合项目实际得5分，</w:t>
            </w:r>
            <w:r>
              <w:rPr>
                <w:rFonts w:hint="eastAsia" w:ascii="宋体" w:hAnsi="宋体"/>
                <w:color w:val="auto"/>
                <w:kern w:val="0"/>
                <w:sz w:val="24"/>
                <w:szCs w:val="24"/>
                <w:lang w:val="en-US" w:eastAsia="zh-CN"/>
              </w:rPr>
              <w:t>每有一项内容不合理或不可行扣1分，扣完为止。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891"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360" w:lineRule="auto"/>
              <w:jc w:val="left"/>
              <w:rPr>
                <w:rFonts w:hint="eastAsia" w:ascii="宋体" w:hAnsi="宋体" w:eastAsia="宋体" w:cs="宋体"/>
                <w:color w:val="auto"/>
                <w:kern w:val="0"/>
                <w:sz w:val="24"/>
                <w:szCs w:val="24"/>
                <w:highlight w:val="none"/>
              </w:rPr>
            </w:pPr>
          </w:p>
        </w:tc>
        <w:tc>
          <w:tcPr>
            <w:tcW w:w="153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合同与信息管理</w:t>
            </w:r>
          </w:p>
        </w:tc>
        <w:tc>
          <w:tcPr>
            <w:tcW w:w="558"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spacing w:line="360" w:lineRule="exact"/>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p>
        </w:tc>
        <w:tc>
          <w:tcPr>
            <w:tcW w:w="6059"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spacing w:line="360" w:lineRule="exact"/>
              <w:ind w:right="-91" w:rightChars="-38"/>
              <w:rPr>
                <w:rFonts w:hint="default" w:ascii="宋体" w:hAnsi="宋体" w:eastAsia="宋体" w:cs="宋体"/>
                <w:color w:val="auto"/>
                <w:kern w:val="2"/>
                <w:sz w:val="24"/>
                <w:szCs w:val="24"/>
                <w:highlight w:val="none"/>
                <w:lang w:val="en-US" w:eastAsia="zh-CN" w:bidi="ar-SA"/>
              </w:rPr>
            </w:pPr>
            <w:r>
              <w:rPr>
                <w:rFonts w:ascii="宋体" w:hAnsi="宋体"/>
                <w:color w:val="auto"/>
                <w:sz w:val="24"/>
                <w:szCs w:val="24"/>
              </w:rPr>
              <w:t>磋商小组根据其</w:t>
            </w:r>
            <w:r>
              <w:rPr>
                <w:rFonts w:ascii="宋体" w:hAnsi="宋体"/>
                <w:color w:val="auto"/>
                <w:spacing w:val="9"/>
                <w:sz w:val="24"/>
                <w:szCs w:val="24"/>
              </w:rPr>
              <w:t>合</w:t>
            </w:r>
            <w:r>
              <w:rPr>
                <w:rFonts w:ascii="宋体" w:hAnsi="宋体"/>
                <w:color w:val="auto"/>
                <w:spacing w:val="7"/>
                <w:sz w:val="24"/>
                <w:szCs w:val="24"/>
              </w:rPr>
              <w:t>同与</w:t>
            </w:r>
            <w:r>
              <w:rPr>
                <w:rFonts w:ascii="宋体" w:hAnsi="宋体"/>
                <w:color w:val="auto"/>
                <w:spacing w:val="9"/>
                <w:sz w:val="24"/>
                <w:szCs w:val="24"/>
              </w:rPr>
              <w:t>信</w:t>
            </w:r>
            <w:r>
              <w:rPr>
                <w:rFonts w:ascii="宋体" w:hAnsi="宋体"/>
                <w:color w:val="auto"/>
                <w:sz w:val="24"/>
                <w:szCs w:val="24"/>
              </w:rPr>
              <w:t>息管理</w:t>
            </w:r>
            <w:r>
              <w:rPr>
                <w:rFonts w:hint="eastAsia" w:ascii="宋体" w:hAnsi="宋体"/>
                <w:color w:val="auto"/>
                <w:sz w:val="24"/>
                <w:szCs w:val="24"/>
                <w:lang w:val="en-US" w:eastAsia="zh-CN"/>
              </w:rPr>
              <w:t>进行评分，各项内容齐全且描述详尽、切合项目实际得5分，</w:t>
            </w:r>
            <w:r>
              <w:rPr>
                <w:rFonts w:hint="eastAsia" w:ascii="宋体" w:hAnsi="宋体"/>
                <w:color w:val="auto"/>
                <w:kern w:val="0"/>
                <w:sz w:val="24"/>
                <w:szCs w:val="24"/>
                <w:lang w:val="en-US" w:eastAsia="zh-CN"/>
              </w:rPr>
              <w:t>每有一项内容不合理或不可行扣1分，扣完为止。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891"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360" w:lineRule="auto"/>
              <w:jc w:val="left"/>
              <w:rPr>
                <w:rFonts w:hint="eastAsia" w:ascii="宋体" w:hAnsi="宋体" w:eastAsia="宋体" w:cs="宋体"/>
                <w:color w:val="auto"/>
                <w:kern w:val="0"/>
                <w:sz w:val="24"/>
                <w:szCs w:val="24"/>
                <w:highlight w:val="none"/>
              </w:rPr>
            </w:pPr>
          </w:p>
        </w:tc>
        <w:tc>
          <w:tcPr>
            <w:tcW w:w="1530" w:type="dxa"/>
            <w:tcBorders>
              <w:top w:val="single" w:color="auto" w:sz="4" w:space="0"/>
              <w:left w:val="single" w:color="auto" w:sz="4" w:space="0"/>
              <w:bottom w:val="single" w:color="auto" w:sz="4" w:space="0"/>
              <w:right w:val="single" w:color="auto" w:sz="4" w:space="0"/>
            </w:tcBorders>
            <w:noWrap w:val="0"/>
            <w:vAlign w:val="center"/>
          </w:tcPr>
          <w:p>
            <w:pPr>
              <w:pStyle w:val="32"/>
              <w:keepNext w:val="0"/>
              <w:keepLines w:val="0"/>
              <w:pageBreakBefore w:val="0"/>
              <w:kinsoku/>
              <w:wordWrap/>
              <w:overflowPunct/>
              <w:topLinePunct w:val="0"/>
              <w:bidi w:val="0"/>
              <w:adjustRightInd/>
              <w:snapToGrid/>
              <w:spacing w:line="300" w:lineRule="exact"/>
              <w:ind w:left="0" w:leftChars="0" w:right="0" w:rightChars="0"/>
              <w:jc w:val="center"/>
              <w:textAlignment w:val="auto"/>
              <w:rPr>
                <w:rFonts w:hint="eastAsia" w:ascii="宋体" w:hAnsi="宋体" w:eastAsia="宋体" w:cs="Times New Roman"/>
                <w:color w:val="auto"/>
                <w:kern w:val="2"/>
                <w:sz w:val="24"/>
                <w:szCs w:val="24"/>
                <w:lang w:val="en-US" w:eastAsia="zh-CN" w:bidi="ar-SA"/>
              </w:rPr>
            </w:pPr>
            <w:r>
              <w:rPr>
                <w:rFonts w:hint="eastAsia" w:ascii="宋体" w:hAnsi="宋体" w:eastAsia="宋体" w:cs="Times New Roman"/>
                <w:color w:val="auto"/>
                <w:kern w:val="2"/>
                <w:sz w:val="24"/>
                <w:szCs w:val="24"/>
                <w:lang w:val="en-US" w:eastAsia="zh-CN" w:bidi="ar-SA"/>
              </w:rPr>
              <w:t>组织协调</w:t>
            </w:r>
          </w:p>
        </w:tc>
        <w:tc>
          <w:tcPr>
            <w:tcW w:w="558"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pStyle w:val="32"/>
              <w:keepNext w:val="0"/>
              <w:keepLines w:val="0"/>
              <w:pageBreakBefore w:val="0"/>
              <w:kinsoku/>
              <w:wordWrap/>
              <w:overflowPunct/>
              <w:topLinePunct w:val="0"/>
              <w:bidi w:val="0"/>
              <w:adjustRightInd/>
              <w:snapToGrid/>
              <w:spacing w:line="30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w:t>
            </w:r>
          </w:p>
        </w:tc>
        <w:tc>
          <w:tcPr>
            <w:tcW w:w="6059"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top"/>
          </w:tcPr>
          <w:p>
            <w:pPr>
              <w:pStyle w:val="32"/>
              <w:keepNext w:val="0"/>
              <w:keepLines w:val="0"/>
              <w:pageBreakBefore w:val="0"/>
              <w:kinsoku/>
              <w:wordWrap/>
              <w:overflowPunct/>
              <w:topLinePunct w:val="0"/>
              <w:bidi w:val="0"/>
              <w:adjustRightInd/>
              <w:snapToGrid/>
              <w:spacing w:line="300" w:lineRule="exact"/>
              <w:ind w:left="0" w:leftChars="0" w:right="0" w:rightChars="0"/>
              <w:textAlignment w:val="auto"/>
              <w:rPr>
                <w:rFonts w:hint="eastAsia" w:ascii="宋体" w:hAnsi="宋体" w:eastAsia="宋体" w:cs="宋体"/>
                <w:color w:val="auto"/>
                <w:kern w:val="2"/>
                <w:sz w:val="24"/>
                <w:szCs w:val="24"/>
                <w:highlight w:val="none"/>
                <w:lang w:val="en-US" w:eastAsia="zh-CN" w:bidi="ar-SA"/>
              </w:rPr>
            </w:pPr>
            <w:r>
              <w:rPr>
                <w:rFonts w:ascii="宋体" w:hAnsi="宋体"/>
                <w:color w:val="auto"/>
                <w:sz w:val="24"/>
                <w:szCs w:val="24"/>
              </w:rPr>
              <w:t>磋商小组根据</w:t>
            </w:r>
            <w:r>
              <w:rPr>
                <w:rFonts w:hint="eastAsia" w:ascii="宋体" w:hAnsi="宋体" w:eastAsia="宋体" w:cs="宋体"/>
                <w:color w:val="auto"/>
                <w:kern w:val="2"/>
                <w:sz w:val="24"/>
                <w:szCs w:val="24"/>
                <w:highlight w:val="none"/>
                <w:lang w:val="en-US" w:eastAsia="zh-CN" w:bidi="ar-SA"/>
              </w:rPr>
              <w:t>组织协调</w:t>
            </w:r>
            <w:r>
              <w:rPr>
                <w:rFonts w:hint="eastAsia" w:ascii="宋体" w:hAnsi="宋体"/>
                <w:color w:val="auto"/>
                <w:sz w:val="24"/>
                <w:szCs w:val="24"/>
                <w:lang w:val="en-US" w:eastAsia="zh-CN"/>
              </w:rPr>
              <w:t>进行评分，各项内容齐全且描述详尽、切合项目实际得5分，</w:t>
            </w:r>
            <w:r>
              <w:rPr>
                <w:rFonts w:hint="eastAsia" w:ascii="宋体" w:hAnsi="宋体"/>
                <w:color w:val="auto"/>
                <w:kern w:val="0"/>
                <w:sz w:val="24"/>
                <w:szCs w:val="24"/>
                <w:lang w:val="en-US" w:eastAsia="zh-CN"/>
              </w:rPr>
              <w:t>每有一项内容不合理或不可行扣1分，扣完为止。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891"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360" w:lineRule="auto"/>
              <w:jc w:val="left"/>
              <w:rPr>
                <w:rFonts w:hint="eastAsia" w:ascii="宋体" w:hAnsi="宋体" w:eastAsia="宋体" w:cs="宋体"/>
                <w:color w:val="auto"/>
                <w:kern w:val="0"/>
                <w:sz w:val="24"/>
                <w:szCs w:val="24"/>
                <w:highlight w:val="none"/>
              </w:rPr>
            </w:pPr>
          </w:p>
        </w:tc>
        <w:tc>
          <w:tcPr>
            <w:tcW w:w="1530" w:type="dxa"/>
            <w:tcBorders>
              <w:top w:val="single" w:color="auto" w:sz="4" w:space="0"/>
              <w:left w:val="single" w:color="auto" w:sz="4" w:space="0"/>
              <w:bottom w:val="single" w:color="auto" w:sz="4" w:space="0"/>
              <w:right w:val="single" w:color="auto" w:sz="4" w:space="0"/>
            </w:tcBorders>
            <w:noWrap w:val="0"/>
            <w:vAlign w:val="center"/>
          </w:tcPr>
          <w:p>
            <w:pPr>
              <w:pStyle w:val="32"/>
              <w:keepNext w:val="0"/>
              <w:keepLines w:val="0"/>
              <w:pageBreakBefore w:val="0"/>
              <w:kinsoku/>
              <w:wordWrap/>
              <w:overflowPunct/>
              <w:topLinePunct w:val="0"/>
              <w:bidi w:val="0"/>
              <w:adjustRightInd/>
              <w:snapToGrid/>
              <w:spacing w:line="300" w:lineRule="exact"/>
              <w:ind w:left="0" w:leftChars="0" w:right="0" w:rightChars="0"/>
              <w:jc w:val="center"/>
              <w:textAlignment w:val="auto"/>
              <w:rPr>
                <w:rFonts w:hint="eastAsia" w:ascii="宋体" w:hAnsi="宋体" w:eastAsia="宋体" w:cs="Times New Roman"/>
                <w:color w:val="auto"/>
                <w:kern w:val="2"/>
                <w:sz w:val="24"/>
                <w:szCs w:val="24"/>
                <w:lang w:val="en-US" w:eastAsia="zh-CN" w:bidi="ar-SA"/>
              </w:rPr>
            </w:pPr>
            <w:r>
              <w:rPr>
                <w:rFonts w:hint="eastAsia" w:ascii="宋体" w:hAnsi="宋体" w:eastAsia="宋体" w:cs="Times New Roman"/>
                <w:color w:val="auto"/>
                <w:kern w:val="2"/>
                <w:sz w:val="24"/>
                <w:szCs w:val="24"/>
                <w:lang w:val="en-US" w:eastAsia="zh-CN" w:bidi="ar-SA"/>
              </w:rPr>
              <w:t>安全生产管理</w:t>
            </w:r>
          </w:p>
        </w:tc>
        <w:tc>
          <w:tcPr>
            <w:tcW w:w="558"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pStyle w:val="32"/>
              <w:keepNext w:val="0"/>
              <w:keepLines w:val="0"/>
              <w:pageBreakBefore w:val="0"/>
              <w:kinsoku/>
              <w:wordWrap/>
              <w:overflowPunct/>
              <w:topLinePunct w:val="0"/>
              <w:bidi w:val="0"/>
              <w:adjustRightInd/>
              <w:snapToGrid/>
              <w:spacing w:line="30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p>
        </w:tc>
        <w:tc>
          <w:tcPr>
            <w:tcW w:w="6059"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top"/>
          </w:tcPr>
          <w:p>
            <w:pPr>
              <w:pStyle w:val="32"/>
              <w:keepNext w:val="0"/>
              <w:keepLines w:val="0"/>
              <w:pageBreakBefore w:val="0"/>
              <w:kinsoku/>
              <w:wordWrap/>
              <w:overflowPunct/>
              <w:topLinePunct w:val="0"/>
              <w:bidi w:val="0"/>
              <w:adjustRightInd/>
              <w:snapToGrid/>
              <w:spacing w:line="300" w:lineRule="exact"/>
              <w:ind w:left="0" w:leftChars="0" w:right="0" w:rightChars="0"/>
              <w:textAlignment w:val="auto"/>
              <w:rPr>
                <w:rFonts w:hint="eastAsia" w:ascii="宋体" w:hAnsi="宋体" w:eastAsia="宋体" w:cs="宋体"/>
                <w:color w:val="auto"/>
                <w:kern w:val="2"/>
                <w:sz w:val="24"/>
                <w:szCs w:val="24"/>
                <w:highlight w:val="none"/>
                <w:lang w:val="en-US" w:eastAsia="zh-CN" w:bidi="ar-SA"/>
              </w:rPr>
            </w:pPr>
            <w:r>
              <w:rPr>
                <w:rFonts w:ascii="宋体" w:hAnsi="宋体"/>
                <w:color w:val="auto"/>
                <w:sz w:val="24"/>
                <w:szCs w:val="24"/>
              </w:rPr>
              <w:t>磋商小组根据安全生产管理</w:t>
            </w:r>
            <w:r>
              <w:rPr>
                <w:rFonts w:hint="eastAsia" w:ascii="宋体" w:hAnsi="宋体"/>
                <w:color w:val="auto"/>
                <w:sz w:val="24"/>
                <w:szCs w:val="24"/>
                <w:lang w:val="en-US" w:eastAsia="zh-CN"/>
              </w:rPr>
              <w:t>进行评分，各项内容齐全且描述详尽、切合项目实际得5分，</w:t>
            </w:r>
            <w:r>
              <w:rPr>
                <w:rFonts w:hint="eastAsia" w:ascii="宋体" w:hAnsi="宋体"/>
                <w:color w:val="auto"/>
                <w:kern w:val="0"/>
                <w:sz w:val="24"/>
                <w:szCs w:val="24"/>
                <w:lang w:val="en-US" w:eastAsia="zh-CN"/>
              </w:rPr>
              <w:t>每有一项内容不合理或不可行扣1分，扣完为止。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91"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360" w:lineRule="auto"/>
              <w:jc w:val="left"/>
              <w:rPr>
                <w:rFonts w:hint="eastAsia" w:ascii="宋体" w:hAnsi="宋体" w:eastAsia="宋体" w:cs="宋体"/>
                <w:color w:val="auto"/>
                <w:kern w:val="0"/>
                <w:sz w:val="24"/>
                <w:szCs w:val="24"/>
                <w:highlight w:val="none"/>
              </w:rPr>
            </w:pPr>
          </w:p>
        </w:tc>
        <w:tc>
          <w:tcPr>
            <w:tcW w:w="1530" w:type="dxa"/>
            <w:tcBorders>
              <w:top w:val="single" w:color="auto" w:sz="4" w:space="0"/>
              <w:left w:val="single" w:color="auto" w:sz="4" w:space="0"/>
              <w:bottom w:val="single" w:color="auto" w:sz="4" w:space="0"/>
              <w:right w:val="single" w:color="auto" w:sz="4" w:space="0"/>
            </w:tcBorders>
            <w:noWrap w:val="0"/>
            <w:vAlign w:val="center"/>
          </w:tcPr>
          <w:p>
            <w:pPr>
              <w:pStyle w:val="32"/>
              <w:keepNext w:val="0"/>
              <w:keepLines w:val="0"/>
              <w:pageBreakBefore w:val="0"/>
              <w:kinsoku/>
              <w:wordWrap/>
              <w:overflowPunct/>
              <w:topLinePunct w:val="0"/>
              <w:bidi w:val="0"/>
              <w:adjustRightInd/>
              <w:snapToGrid/>
              <w:spacing w:line="300" w:lineRule="exact"/>
              <w:ind w:left="0" w:leftChars="0" w:right="0" w:rightChars="0"/>
              <w:jc w:val="center"/>
              <w:textAlignment w:val="auto"/>
              <w:rPr>
                <w:rFonts w:hint="eastAsia" w:ascii="宋体" w:hAnsi="宋体" w:eastAsia="宋体" w:cs="Times New Roman"/>
                <w:color w:val="auto"/>
                <w:kern w:val="2"/>
                <w:sz w:val="24"/>
                <w:szCs w:val="24"/>
                <w:lang w:val="en-US" w:eastAsia="zh-CN" w:bidi="ar-SA"/>
              </w:rPr>
            </w:pPr>
            <w:r>
              <w:rPr>
                <w:rFonts w:hint="eastAsia" w:ascii="宋体" w:hAnsi="宋体" w:eastAsia="宋体" w:cs="Times New Roman"/>
                <w:color w:val="auto"/>
                <w:kern w:val="2"/>
                <w:sz w:val="24"/>
                <w:szCs w:val="24"/>
                <w:lang w:val="en-US" w:eastAsia="zh-CN" w:bidi="ar-SA"/>
              </w:rPr>
              <w:t>监理工作</w:t>
            </w:r>
          </w:p>
          <w:p>
            <w:pPr>
              <w:pStyle w:val="32"/>
              <w:keepNext w:val="0"/>
              <w:keepLines w:val="0"/>
              <w:pageBreakBefore w:val="0"/>
              <w:kinsoku/>
              <w:wordWrap/>
              <w:overflowPunct/>
              <w:topLinePunct w:val="0"/>
              <w:bidi w:val="0"/>
              <w:adjustRightInd/>
              <w:snapToGrid/>
              <w:spacing w:line="300" w:lineRule="exact"/>
              <w:ind w:left="0" w:leftChars="0" w:right="0" w:rightChars="0"/>
              <w:jc w:val="center"/>
              <w:textAlignment w:val="auto"/>
              <w:rPr>
                <w:rFonts w:hint="eastAsia" w:ascii="宋体" w:hAnsi="宋体" w:eastAsia="宋体" w:cs="Times New Roman"/>
                <w:color w:val="auto"/>
                <w:kern w:val="2"/>
                <w:sz w:val="24"/>
                <w:szCs w:val="24"/>
                <w:lang w:val="en-US" w:eastAsia="zh-CN" w:bidi="ar-SA"/>
              </w:rPr>
            </w:pPr>
            <w:r>
              <w:rPr>
                <w:rFonts w:hint="eastAsia" w:ascii="宋体" w:hAnsi="宋体" w:eastAsia="宋体" w:cs="Times New Roman"/>
                <w:color w:val="auto"/>
                <w:kern w:val="2"/>
                <w:sz w:val="24"/>
                <w:szCs w:val="24"/>
                <w:lang w:val="en-US" w:eastAsia="zh-CN" w:bidi="ar-SA"/>
              </w:rPr>
              <w:t>制度</w:t>
            </w:r>
          </w:p>
        </w:tc>
        <w:tc>
          <w:tcPr>
            <w:tcW w:w="558"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pStyle w:val="32"/>
              <w:keepNext w:val="0"/>
              <w:keepLines w:val="0"/>
              <w:pageBreakBefore w:val="0"/>
              <w:kinsoku/>
              <w:wordWrap/>
              <w:overflowPunct/>
              <w:topLinePunct w:val="0"/>
              <w:bidi w:val="0"/>
              <w:adjustRightInd/>
              <w:snapToGrid/>
              <w:spacing w:line="30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p>
        </w:tc>
        <w:tc>
          <w:tcPr>
            <w:tcW w:w="6059"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top"/>
          </w:tcPr>
          <w:p>
            <w:pPr>
              <w:pStyle w:val="32"/>
              <w:keepNext w:val="0"/>
              <w:keepLines w:val="0"/>
              <w:pageBreakBefore w:val="0"/>
              <w:kinsoku/>
              <w:wordWrap/>
              <w:overflowPunct/>
              <w:topLinePunct w:val="0"/>
              <w:bidi w:val="0"/>
              <w:adjustRightInd/>
              <w:snapToGrid/>
              <w:spacing w:line="300" w:lineRule="exact"/>
              <w:ind w:left="0" w:leftChars="0" w:right="0" w:rightChars="0"/>
              <w:textAlignment w:val="auto"/>
              <w:rPr>
                <w:rFonts w:hint="eastAsia" w:ascii="宋体" w:hAnsi="宋体" w:eastAsia="宋体" w:cs="宋体"/>
                <w:color w:val="auto"/>
                <w:kern w:val="2"/>
                <w:sz w:val="24"/>
                <w:szCs w:val="24"/>
                <w:highlight w:val="none"/>
                <w:lang w:val="en-US" w:eastAsia="zh-CN" w:bidi="ar-SA"/>
              </w:rPr>
            </w:pPr>
            <w:r>
              <w:rPr>
                <w:rFonts w:ascii="宋体" w:hAnsi="宋体"/>
                <w:color w:val="auto"/>
                <w:sz w:val="24"/>
                <w:szCs w:val="24"/>
              </w:rPr>
              <w:t>磋商小组根据监理工作制度</w:t>
            </w:r>
            <w:r>
              <w:rPr>
                <w:rFonts w:hint="eastAsia" w:ascii="宋体" w:hAnsi="宋体"/>
                <w:color w:val="auto"/>
                <w:sz w:val="24"/>
                <w:szCs w:val="24"/>
                <w:lang w:val="en-US" w:eastAsia="zh-CN"/>
              </w:rPr>
              <w:t>进行评分，各项内容齐全且描述详尽、切合项目实际得5分，</w:t>
            </w:r>
            <w:r>
              <w:rPr>
                <w:rFonts w:hint="eastAsia" w:ascii="宋体" w:hAnsi="宋体"/>
                <w:color w:val="auto"/>
                <w:kern w:val="0"/>
                <w:sz w:val="24"/>
                <w:szCs w:val="24"/>
                <w:lang w:val="en-US" w:eastAsia="zh-CN"/>
              </w:rPr>
              <w:t>每有一项内容不合理或不可行扣1分，扣完为止。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891"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360" w:lineRule="auto"/>
              <w:jc w:val="left"/>
              <w:rPr>
                <w:rFonts w:hint="eastAsia" w:ascii="宋体" w:hAnsi="宋体" w:eastAsia="宋体" w:cs="宋体"/>
                <w:color w:val="auto"/>
                <w:kern w:val="0"/>
                <w:sz w:val="24"/>
                <w:szCs w:val="24"/>
                <w:highlight w:val="none"/>
              </w:rPr>
            </w:pPr>
          </w:p>
        </w:tc>
        <w:tc>
          <w:tcPr>
            <w:tcW w:w="153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宋体" w:hAnsi="宋体" w:eastAsia="宋体" w:cs="宋体"/>
                <w:color w:val="auto"/>
                <w:kern w:val="2"/>
                <w:sz w:val="24"/>
                <w:szCs w:val="24"/>
                <w:highlight w:val="none"/>
                <w:lang w:val="zh-CN" w:eastAsia="zh-CN" w:bidi="ar-SA"/>
              </w:rPr>
            </w:pPr>
            <w:r>
              <w:rPr>
                <w:rFonts w:hint="eastAsia" w:ascii="宋体" w:hAnsi="宋体"/>
                <w:color w:val="auto"/>
                <w:sz w:val="24"/>
                <w:highlight w:val="none"/>
              </w:rPr>
              <w:t>保修阶段监理</w:t>
            </w:r>
          </w:p>
        </w:tc>
        <w:tc>
          <w:tcPr>
            <w:tcW w:w="558"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spacing w:line="320" w:lineRule="exact"/>
              <w:jc w:val="center"/>
              <w:rPr>
                <w:rFonts w:hint="eastAsia" w:ascii="宋体" w:hAnsi="宋体" w:cs="宋体"/>
                <w:color w:val="auto"/>
                <w:kern w:val="2"/>
                <w:sz w:val="24"/>
                <w:szCs w:val="24"/>
                <w:highlight w:val="none"/>
                <w:lang w:val="en-US" w:eastAsia="zh-CN" w:bidi="ar-SA"/>
              </w:rPr>
            </w:pPr>
            <w:r>
              <w:rPr>
                <w:rFonts w:hint="eastAsia" w:ascii="宋体" w:hAnsi="宋体"/>
                <w:color w:val="auto"/>
                <w:sz w:val="24"/>
                <w:highlight w:val="none"/>
                <w:lang w:val="en-US" w:eastAsia="zh-CN"/>
              </w:rPr>
              <w:t>3</w:t>
            </w:r>
          </w:p>
        </w:tc>
        <w:tc>
          <w:tcPr>
            <w:tcW w:w="6059"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spacing w:line="320" w:lineRule="exact"/>
              <w:jc w:val="left"/>
              <w:rPr>
                <w:rFonts w:hint="eastAsia" w:ascii="宋体" w:hAnsi="宋体" w:eastAsia="宋体" w:cs="宋体"/>
                <w:color w:val="auto"/>
                <w:kern w:val="2"/>
                <w:sz w:val="24"/>
                <w:szCs w:val="24"/>
                <w:highlight w:val="none"/>
                <w:lang w:val="zh-CN" w:eastAsia="zh-CN" w:bidi="ar-SA"/>
              </w:rPr>
            </w:pPr>
            <w:r>
              <w:rPr>
                <w:rFonts w:hint="eastAsia" w:ascii="宋体" w:hAnsi="宋体"/>
                <w:color w:val="auto"/>
                <w:sz w:val="24"/>
                <w:highlight w:val="none"/>
              </w:rPr>
              <w:t>投标文件中对于保修阶段监理</w:t>
            </w:r>
            <w:r>
              <w:rPr>
                <w:rFonts w:hint="eastAsia" w:ascii="宋体" w:hAnsi="宋体"/>
                <w:color w:val="auto"/>
                <w:sz w:val="24"/>
                <w:szCs w:val="24"/>
                <w:lang w:val="en-US" w:eastAsia="zh-CN"/>
              </w:rPr>
              <w:t>进行评分，各项内容齐全且描述详尽、切合项目实际得3分，</w:t>
            </w:r>
            <w:r>
              <w:rPr>
                <w:rFonts w:hint="eastAsia" w:ascii="宋体" w:hAnsi="宋体"/>
                <w:color w:val="auto"/>
                <w:kern w:val="0"/>
                <w:sz w:val="24"/>
                <w:szCs w:val="24"/>
                <w:lang w:val="en-US" w:eastAsia="zh-CN"/>
              </w:rPr>
              <w:t>每有一项内容不合理或不可行扣1分，扣完为止。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891"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spacing w:line="360" w:lineRule="auto"/>
              <w:jc w:val="left"/>
              <w:rPr>
                <w:rFonts w:hint="eastAsia" w:ascii="宋体" w:hAnsi="宋体" w:eastAsia="宋体" w:cs="宋体"/>
                <w:color w:val="auto"/>
                <w:kern w:val="0"/>
                <w:sz w:val="24"/>
                <w:szCs w:val="24"/>
                <w:highlight w:val="none"/>
              </w:rPr>
            </w:pPr>
          </w:p>
        </w:tc>
        <w:tc>
          <w:tcPr>
            <w:tcW w:w="1530" w:type="dxa"/>
            <w:tcBorders>
              <w:top w:val="single" w:color="auto" w:sz="4" w:space="0"/>
              <w:left w:val="single" w:color="auto" w:sz="4" w:space="0"/>
              <w:bottom w:val="single" w:color="auto" w:sz="4" w:space="0"/>
              <w:right w:val="single" w:color="auto" w:sz="4" w:space="0"/>
            </w:tcBorders>
            <w:noWrap w:val="0"/>
            <w:vAlign w:val="center"/>
          </w:tcPr>
          <w:p>
            <w:pPr>
              <w:pStyle w:val="32"/>
              <w:keepNext w:val="0"/>
              <w:keepLines w:val="0"/>
              <w:pageBreakBefore w:val="0"/>
              <w:kinsoku/>
              <w:wordWrap/>
              <w:overflowPunct/>
              <w:topLinePunct w:val="0"/>
              <w:bidi w:val="0"/>
              <w:adjustRightInd/>
              <w:snapToGrid/>
              <w:spacing w:line="300" w:lineRule="exact"/>
              <w:ind w:left="0" w:leftChars="0" w:right="0" w:rightChars="0"/>
              <w:jc w:val="center"/>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质量承诺及</w:t>
            </w:r>
          </w:p>
          <w:p>
            <w:pPr>
              <w:pStyle w:val="32"/>
              <w:keepNext w:val="0"/>
              <w:keepLines w:val="0"/>
              <w:pageBreakBefore w:val="0"/>
              <w:kinsoku/>
              <w:wordWrap/>
              <w:overflowPunct/>
              <w:topLinePunct w:val="0"/>
              <w:bidi w:val="0"/>
              <w:adjustRightInd/>
              <w:snapToGrid/>
              <w:spacing w:line="300" w:lineRule="exact"/>
              <w:ind w:left="0" w:leftChars="0" w:right="0" w:right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zh-CN" w:eastAsia="zh-CN" w:bidi="ar-SA"/>
              </w:rPr>
              <w:t>处罚</w:t>
            </w:r>
          </w:p>
        </w:tc>
        <w:tc>
          <w:tcPr>
            <w:tcW w:w="558"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pStyle w:val="32"/>
              <w:keepNext w:val="0"/>
              <w:keepLines w:val="0"/>
              <w:pageBreakBefore w:val="0"/>
              <w:kinsoku/>
              <w:wordWrap/>
              <w:overflowPunct/>
              <w:topLinePunct w:val="0"/>
              <w:bidi w:val="0"/>
              <w:adjustRightInd/>
              <w:snapToGrid/>
              <w:spacing w:line="300" w:lineRule="exact"/>
              <w:ind w:left="0" w:leftChars="0" w:right="0" w:right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w:t>
            </w:r>
          </w:p>
        </w:tc>
        <w:tc>
          <w:tcPr>
            <w:tcW w:w="6059" w:type="dxa"/>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top"/>
          </w:tcPr>
          <w:p>
            <w:pPr>
              <w:pStyle w:val="32"/>
              <w:keepNext w:val="0"/>
              <w:keepLines w:val="0"/>
              <w:pageBreakBefore w:val="0"/>
              <w:kinsoku/>
              <w:wordWrap/>
              <w:overflowPunct/>
              <w:topLinePunct w:val="0"/>
              <w:bidi w:val="0"/>
              <w:adjustRightInd/>
              <w:snapToGrid/>
              <w:spacing w:line="300" w:lineRule="exact"/>
              <w:ind w:left="0" w:leftChars="0" w:right="0" w:rightChars="0"/>
              <w:textAlignment w:val="auto"/>
              <w:rPr>
                <w:rFonts w:hint="eastAsia" w:ascii="宋体" w:hAnsi="宋体" w:eastAsia="宋体" w:cs="宋体"/>
                <w:color w:val="auto"/>
                <w:kern w:val="2"/>
                <w:sz w:val="24"/>
                <w:szCs w:val="24"/>
                <w:highlight w:val="none"/>
                <w:lang w:val="en-US" w:eastAsia="zh-CN" w:bidi="ar-SA"/>
              </w:rPr>
            </w:pPr>
            <w:r>
              <w:rPr>
                <w:rFonts w:ascii="宋体" w:hAnsi="宋体"/>
                <w:color w:val="auto"/>
                <w:sz w:val="24"/>
                <w:szCs w:val="24"/>
              </w:rPr>
              <w:t>磋商小组根据</w:t>
            </w:r>
            <w:r>
              <w:rPr>
                <w:rFonts w:hint="eastAsia" w:ascii="宋体" w:hAnsi="宋体" w:eastAsia="宋体" w:cs="宋体"/>
                <w:color w:val="auto"/>
                <w:kern w:val="2"/>
                <w:sz w:val="24"/>
                <w:szCs w:val="24"/>
                <w:highlight w:val="none"/>
                <w:lang w:val="zh-CN" w:eastAsia="zh-CN" w:bidi="ar-SA"/>
              </w:rPr>
              <w:t>有质量承诺及违约经济处罚，承诺、处罚充分、合理得</w:t>
            </w:r>
            <w:r>
              <w:rPr>
                <w:rFonts w:hint="eastAsia" w:ascii="宋体" w:hAnsi="宋体" w:cs="宋体"/>
                <w:color w:val="auto"/>
                <w:kern w:val="2"/>
                <w:sz w:val="24"/>
                <w:szCs w:val="24"/>
                <w:highlight w:val="none"/>
                <w:lang w:val="en-US" w:eastAsia="zh-CN" w:bidi="ar-SA"/>
              </w:rPr>
              <w:t>3</w:t>
            </w:r>
            <w:r>
              <w:rPr>
                <w:rFonts w:hint="eastAsia" w:ascii="宋体" w:hAnsi="宋体" w:eastAsia="宋体" w:cs="宋体"/>
                <w:color w:val="auto"/>
                <w:kern w:val="2"/>
                <w:sz w:val="24"/>
                <w:szCs w:val="24"/>
                <w:highlight w:val="none"/>
                <w:lang w:val="zh-CN" w:eastAsia="zh-CN" w:bidi="ar-SA"/>
              </w:rPr>
              <w:t>分，承诺、处罚</w:t>
            </w:r>
            <w:r>
              <w:rPr>
                <w:rFonts w:hint="eastAsia" w:ascii="宋体" w:hAnsi="宋体" w:cs="宋体"/>
                <w:color w:val="auto"/>
                <w:kern w:val="2"/>
                <w:sz w:val="24"/>
                <w:szCs w:val="24"/>
                <w:highlight w:val="none"/>
                <w:lang w:val="en-US" w:eastAsia="zh-CN" w:bidi="ar-SA"/>
              </w:rPr>
              <w:t>每</w:t>
            </w:r>
            <w:r>
              <w:rPr>
                <w:rFonts w:hint="eastAsia" w:ascii="宋体" w:hAnsi="宋体" w:eastAsia="宋体" w:cs="宋体"/>
                <w:color w:val="auto"/>
                <w:kern w:val="2"/>
                <w:sz w:val="24"/>
                <w:szCs w:val="24"/>
                <w:highlight w:val="none"/>
                <w:lang w:val="zh-CN" w:eastAsia="zh-CN" w:bidi="ar-SA"/>
              </w:rPr>
              <w:t>存在一定缺陷</w:t>
            </w:r>
            <w:r>
              <w:rPr>
                <w:rFonts w:hint="eastAsia" w:ascii="宋体" w:hAnsi="宋体" w:cs="宋体"/>
                <w:color w:val="auto"/>
                <w:kern w:val="2"/>
                <w:sz w:val="24"/>
                <w:szCs w:val="24"/>
                <w:highlight w:val="none"/>
                <w:lang w:val="en-US" w:eastAsia="zh-CN" w:bidi="ar-SA"/>
              </w:rPr>
              <w:t>的扣1分，扣完为止，</w:t>
            </w:r>
            <w:r>
              <w:rPr>
                <w:rFonts w:hint="eastAsia" w:ascii="宋体" w:hAnsi="宋体" w:eastAsia="宋体" w:cs="宋体"/>
                <w:color w:val="auto"/>
                <w:kern w:val="2"/>
                <w:sz w:val="24"/>
                <w:szCs w:val="24"/>
                <w:highlight w:val="none"/>
                <w:lang w:val="en-US" w:eastAsia="zh-CN" w:bidi="ar-SA"/>
              </w:rPr>
              <w:t>未提供</w:t>
            </w:r>
            <w:r>
              <w:rPr>
                <w:rFonts w:hint="eastAsia" w:ascii="宋体" w:hAnsi="宋体" w:cs="宋体"/>
                <w:color w:val="auto"/>
                <w:kern w:val="2"/>
                <w:sz w:val="24"/>
                <w:szCs w:val="24"/>
                <w:highlight w:val="none"/>
                <w:lang w:val="en-US" w:eastAsia="zh-CN" w:bidi="ar-SA"/>
              </w:rPr>
              <w:t>的</w:t>
            </w:r>
            <w:r>
              <w:rPr>
                <w:rFonts w:hint="eastAsia" w:ascii="宋体" w:hAnsi="宋体" w:eastAsia="宋体" w:cs="宋体"/>
                <w:color w:val="auto"/>
                <w:kern w:val="2"/>
                <w:sz w:val="24"/>
                <w:szCs w:val="24"/>
                <w:highlight w:val="none"/>
                <w:lang w:val="en-US" w:eastAsia="zh-CN" w:bidi="ar-SA"/>
              </w:rPr>
              <w:t>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4" w:hRule="atLeast"/>
        </w:trPr>
        <w:tc>
          <w:tcPr>
            <w:tcW w:w="2421" w:type="dxa"/>
            <w:gridSpan w:val="2"/>
            <w:tcBorders>
              <w:top w:val="single" w:color="auto" w:sz="4" w:space="0"/>
              <w:left w:val="single" w:color="auto" w:sz="4" w:space="0"/>
              <w:bottom w:val="single" w:color="auto" w:sz="4" w:space="0"/>
              <w:right w:val="single" w:color="auto" w:sz="4" w:space="0"/>
            </w:tcBorders>
            <w:noWrap w:val="0"/>
            <w:vAlign w:val="center"/>
          </w:tcPr>
          <w:p>
            <w:pPr>
              <w:pStyle w:val="32"/>
              <w:keepNext w:val="0"/>
              <w:keepLines w:val="0"/>
              <w:pageBreakBefore w:val="0"/>
              <w:kinsoku/>
              <w:wordWrap/>
              <w:overflowPunct/>
              <w:topLinePunct w:val="0"/>
              <w:bidi w:val="0"/>
              <w:adjustRightInd/>
              <w:snapToGrid/>
              <w:spacing w:line="30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磋商报价评分标准</w:t>
            </w:r>
          </w:p>
          <w:p>
            <w:pPr>
              <w:pStyle w:val="32"/>
              <w:keepNext w:val="0"/>
              <w:keepLines w:val="0"/>
              <w:pageBreakBefore w:val="0"/>
              <w:kinsoku/>
              <w:wordWrap/>
              <w:overflowPunct/>
              <w:topLinePunct w:val="0"/>
              <w:bidi w:val="0"/>
              <w:adjustRightInd/>
              <w:snapToGrid/>
              <w:spacing w:line="300" w:lineRule="exact"/>
              <w:ind w:left="0" w:leftChars="0" w:right="0" w:right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w:t>
            </w:r>
            <w:r>
              <w:rPr>
                <w:rFonts w:hint="eastAsia" w:ascii="宋体" w:hAnsi="宋体" w:cs="宋体"/>
                <w:color w:val="auto"/>
                <w:kern w:val="2"/>
                <w:sz w:val="24"/>
                <w:szCs w:val="24"/>
                <w:highlight w:val="none"/>
                <w:lang w:val="en-US" w:eastAsia="zh-CN" w:bidi="ar-SA"/>
              </w:rPr>
              <w:t>30</w:t>
            </w:r>
            <w:r>
              <w:rPr>
                <w:rFonts w:hint="eastAsia" w:ascii="宋体" w:hAnsi="宋体" w:eastAsia="宋体" w:cs="宋体"/>
                <w:color w:val="auto"/>
                <w:kern w:val="2"/>
                <w:sz w:val="24"/>
                <w:szCs w:val="24"/>
                <w:highlight w:val="none"/>
                <w:lang w:val="en-US" w:eastAsia="zh-CN" w:bidi="ar-SA"/>
              </w:rPr>
              <w:t>分）</w:t>
            </w:r>
          </w:p>
          <w:p>
            <w:pPr>
              <w:pStyle w:val="32"/>
              <w:keepNext w:val="0"/>
              <w:keepLines w:val="0"/>
              <w:pageBreakBefore w:val="0"/>
              <w:kinsoku/>
              <w:wordWrap/>
              <w:overflowPunct/>
              <w:topLinePunct w:val="0"/>
              <w:bidi w:val="0"/>
              <w:adjustRightInd/>
              <w:snapToGrid/>
              <w:spacing w:line="300" w:lineRule="exact"/>
              <w:ind w:left="0" w:leftChars="0" w:right="0" w:right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w:t>
            </w:r>
          </w:p>
        </w:tc>
        <w:tc>
          <w:tcPr>
            <w:tcW w:w="6617" w:type="dxa"/>
            <w:gridSpan w:val="2"/>
            <w:tcBorders>
              <w:top w:val="single" w:color="auto" w:sz="4" w:space="0"/>
              <w:left w:val="single" w:color="auto" w:sz="4" w:space="0"/>
              <w:bottom w:val="single" w:color="auto" w:sz="4" w:space="0"/>
              <w:right w:val="single" w:color="auto" w:sz="4" w:space="0"/>
            </w:tcBorders>
            <w:noWrap w:val="0"/>
            <w:tcMar>
              <w:top w:w="17" w:type="dxa"/>
              <w:left w:w="108" w:type="dxa"/>
              <w:bottom w:w="17" w:type="dxa"/>
              <w:right w:w="108" w:type="dxa"/>
            </w:tcMar>
            <w:vAlign w:val="center"/>
          </w:tcPr>
          <w:p>
            <w:pPr>
              <w:pStyle w:val="32"/>
              <w:keepNext w:val="0"/>
              <w:keepLines w:val="0"/>
              <w:pageBreakBefore w:val="0"/>
              <w:kinsoku/>
              <w:wordWrap/>
              <w:overflowPunct/>
              <w:topLinePunct w:val="0"/>
              <w:bidi w:val="0"/>
              <w:adjustRightInd/>
              <w:snapToGrid/>
              <w:spacing w:line="300" w:lineRule="exact"/>
              <w:ind w:left="0" w:leftChars="0" w:right="0" w:right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磋商小组只对资格和符合性审查合格的响应文件进行价格评议，报价分采用低价优先法计算，即满足磋商文件要求且最后报价最低（因落实政府采购政策进行价格调整的，以调整后的价格计算评审基准价和最后磋商报价）为评审基准价，其价格分为满分。其他供应商的价格分 按照下列公式计算：磋商报价得分=(评审基准价／投标报价)×价格分。</w:t>
            </w:r>
          </w:p>
        </w:tc>
      </w:tr>
    </w:tbl>
    <w:p>
      <w:pPr>
        <w:pStyle w:val="11"/>
        <w:rPr>
          <w:b/>
          <w:color w:val="auto"/>
          <w:sz w:val="20"/>
          <w:highlight w:val="none"/>
        </w:rPr>
      </w:pPr>
    </w:p>
    <w:p>
      <w:pPr>
        <w:pStyle w:val="13"/>
        <w:keepNext w:val="0"/>
        <w:keepLines w:val="0"/>
        <w:pageBreakBefore w:val="0"/>
        <w:kinsoku/>
        <w:wordWrap/>
        <w:overflowPunct/>
        <w:topLinePunct w:val="0"/>
        <w:bidi w:val="0"/>
        <w:adjustRightInd/>
        <w:spacing w:line="360" w:lineRule="auto"/>
        <w:rPr>
          <w:rFonts w:hint="eastAsia" w:ascii="宋体" w:hAnsi="宋体" w:eastAsia="宋体" w:cs="宋体"/>
          <w:color w:val="auto"/>
          <w:sz w:val="24"/>
          <w:szCs w:val="24"/>
          <w:highlight w:val="none"/>
        </w:rPr>
      </w:pPr>
    </w:p>
    <w:p>
      <w:pPr>
        <w:pStyle w:val="8"/>
        <w:kinsoku/>
        <w:wordWrap/>
        <w:overflowPunct/>
        <w:topLinePunct w:val="0"/>
        <w:bidi w:val="0"/>
        <w:spacing w:line="360" w:lineRule="auto"/>
        <w:rPr>
          <w:rFonts w:hint="eastAsia" w:ascii="宋体" w:hAnsi="宋体" w:eastAsia="宋体" w:cs="宋体"/>
          <w:color w:val="auto"/>
          <w:highlight w:val="none"/>
        </w:rPr>
      </w:pPr>
      <w:bookmarkStart w:id="132" w:name="_Toc459223866"/>
      <w:bookmarkStart w:id="133" w:name="_Toc459227625"/>
      <w:bookmarkStart w:id="134" w:name="_Toc23210"/>
      <w:bookmarkStart w:id="135" w:name="_Toc459226642"/>
      <w:bookmarkStart w:id="136" w:name="_Toc459297232"/>
      <w:bookmarkStart w:id="137" w:name="_Toc459227392"/>
      <w:bookmarkStart w:id="138" w:name="_Toc23949"/>
      <w:r>
        <w:rPr>
          <w:rFonts w:hint="eastAsia" w:ascii="宋体" w:hAnsi="宋体" w:eastAsia="宋体" w:cs="宋体"/>
          <w:color w:val="auto"/>
          <w:highlight w:val="none"/>
        </w:rPr>
        <w:t>第五章 合同格式及合同条款</w:t>
      </w:r>
      <w:bookmarkEnd w:id="132"/>
      <w:bookmarkEnd w:id="133"/>
      <w:bookmarkEnd w:id="134"/>
      <w:bookmarkEnd w:id="135"/>
      <w:bookmarkEnd w:id="136"/>
      <w:bookmarkEnd w:id="137"/>
      <w:r>
        <w:rPr>
          <w:rFonts w:hint="eastAsia" w:ascii="宋体" w:hAnsi="宋体" w:eastAsia="宋体" w:cs="宋体"/>
          <w:color w:val="auto"/>
          <w:highlight w:val="none"/>
        </w:rPr>
        <w:t>范本</w:t>
      </w:r>
      <w:bookmarkEnd w:id="138"/>
    </w:p>
    <w:p>
      <w:pPr>
        <w:pStyle w:val="33"/>
        <w:kinsoku/>
        <w:wordWrap/>
        <w:overflowPunct/>
        <w:topLinePunct w:val="0"/>
        <w:bidi w:val="0"/>
        <w:spacing w:line="360" w:lineRule="auto"/>
        <w:jc w:val="both"/>
        <w:rPr>
          <w:rFonts w:hint="eastAsia" w:ascii="宋体" w:hAnsi="宋体" w:eastAsia="宋体" w:cs="宋体"/>
          <w:b/>
          <w:color w:val="auto"/>
          <w:kern w:val="0"/>
          <w:sz w:val="36"/>
          <w:szCs w:val="36"/>
          <w:highlight w:val="none"/>
        </w:rPr>
      </w:pPr>
      <w:bookmarkStart w:id="139" w:name="EB5d31b1b903224a259ba38e2ce1ffbf76"/>
    </w:p>
    <w:bookmarkEnd w:id="139"/>
    <w:p>
      <w:pPr>
        <w:kinsoku/>
        <w:wordWrap/>
        <w:overflowPunct/>
        <w:topLinePunct w:val="0"/>
        <w:bidi w:val="0"/>
        <w:spacing w:line="360" w:lineRule="auto"/>
        <w:jc w:val="center"/>
        <w:rPr>
          <w:rFonts w:hint="eastAsia" w:ascii="宋体" w:hAnsi="宋体" w:eastAsia="宋体" w:cs="宋体"/>
          <w:snapToGrid w:val="0"/>
          <w:color w:val="auto"/>
          <w:kern w:val="0"/>
          <w:szCs w:val="24"/>
          <w:highlight w:val="none"/>
          <w:lang w:val="zh-CN"/>
        </w:rPr>
      </w:pPr>
      <w:bookmarkStart w:id="140" w:name="_Toc459227393"/>
      <w:bookmarkStart w:id="141" w:name="_Toc459226643"/>
      <w:bookmarkStart w:id="142" w:name="_Toc459297233"/>
      <w:bookmarkStart w:id="143" w:name="_Toc459227626"/>
      <w:bookmarkStart w:id="144" w:name="_Toc459223867"/>
      <w:r>
        <w:rPr>
          <w:rFonts w:hint="eastAsia" w:ascii="宋体" w:hAnsi="宋体" w:eastAsia="宋体" w:cs="宋体"/>
          <w:color w:val="auto"/>
          <w:szCs w:val="24"/>
          <w:highlight w:val="none"/>
        </w:rPr>
        <w:t>（采购人和成交供应商可根据采购文件要求自行约定）</w:t>
      </w:r>
    </w:p>
    <w:p>
      <w:pPr>
        <w:kinsoku/>
        <w:wordWrap/>
        <w:overflowPunct/>
        <w:topLinePunct w:val="0"/>
        <w:autoSpaceDE w:val="0"/>
        <w:autoSpaceDN w:val="0"/>
        <w:bidi w:val="0"/>
        <w:adjustRightInd w:val="0"/>
        <w:spacing w:line="360" w:lineRule="auto"/>
        <w:jc w:val="center"/>
        <w:rPr>
          <w:rFonts w:hint="eastAsia" w:ascii="宋体" w:hAnsi="宋体" w:eastAsia="宋体" w:cs="宋体"/>
          <w:b/>
          <w:color w:val="auto"/>
          <w:kern w:val="0"/>
          <w:sz w:val="28"/>
          <w:szCs w:val="28"/>
          <w:highlight w:val="none"/>
        </w:rPr>
      </w:pPr>
    </w:p>
    <w:p>
      <w:pPr>
        <w:pStyle w:val="8"/>
        <w:kinsoku/>
        <w:wordWrap/>
        <w:overflowPunct/>
        <w:topLinePunct w:val="0"/>
        <w:bidi w:val="0"/>
        <w:spacing w:line="360" w:lineRule="auto"/>
        <w:rPr>
          <w:rFonts w:hint="eastAsia" w:ascii="宋体" w:hAnsi="宋体" w:eastAsia="宋体" w:cs="宋体"/>
          <w:color w:val="auto"/>
          <w:highlight w:val="none"/>
        </w:rPr>
      </w:pPr>
      <w:bookmarkStart w:id="145" w:name="_Toc6005"/>
      <w:bookmarkStart w:id="146" w:name="_Toc18687"/>
      <w:r>
        <w:rPr>
          <w:rFonts w:hint="eastAsia" w:ascii="宋体" w:hAnsi="宋体" w:eastAsia="宋体" w:cs="宋体"/>
          <w:color w:val="auto"/>
          <w:highlight w:val="none"/>
        </w:rPr>
        <w:t>第六章 响应文件格式</w:t>
      </w:r>
      <w:bookmarkEnd w:id="140"/>
      <w:bookmarkEnd w:id="141"/>
      <w:bookmarkEnd w:id="142"/>
      <w:bookmarkEnd w:id="143"/>
      <w:bookmarkEnd w:id="144"/>
      <w:bookmarkEnd w:id="145"/>
      <w:bookmarkEnd w:id="146"/>
    </w:p>
    <w:p>
      <w:pPr>
        <w:kinsoku/>
        <w:wordWrap/>
        <w:overflowPunct/>
        <w:topLinePunct w:val="0"/>
        <w:bidi w:val="0"/>
        <w:spacing w:line="360" w:lineRule="auto"/>
        <w:ind w:firstLine="404"/>
        <w:rPr>
          <w:rFonts w:hint="eastAsia" w:ascii="宋体" w:hAnsi="宋体" w:eastAsia="宋体" w:cs="宋体"/>
          <w:color w:val="auto"/>
          <w:kern w:val="2"/>
          <w:sz w:val="24"/>
          <w:szCs w:val="24"/>
          <w:highlight w:val="none"/>
          <w:lang w:val="en-US" w:eastAsia="zh-CN" w:bidi="ar-SA"/>
        </w:rPr>
      </w:pPr>
      <w:bookmarkStart w:id="147" w:name="EBb47a804f28f4404fb58d958f11aa9e9a"/>
    </w:p>
    <w:p>
      <w:pPr>
        <w:pStyle w:val="34"/>
        <w:kinsoku/>
        <w:wordWrap/>
        <w:overflowPunct/>
        <w:topLinePunct w:val="0"/>
        <w:bidi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（本章未提供格式部分由供应商自行编制）</w:t>
      </w:r>
    </w:p>
    <w:p>
      <w:pPr>
        <w:pStyle w:val="34"/>
        <w:kinsoku/>
        <w:wordWrap/>
        <w:overflowPunct/>
        <w:topLinePunct w:val="0"/>
        <w:bidi w:val="0"/>
        <w:spacing w:line="360" w:lineRule="auto"/>
        <w:jc w:val="both"/>
        <w:rPr>
          <w:rFonts w:hint="eastAsia" w:ascii="宋体" w:hAnsi="宋体" w:eastAsia="宋体" w:cs="宋体"/>
          <w:color w:val="auto"/>
          <w:kern w:val="2"/>
          <w:sz w:val="24"/>
          <w:szCs w:val="24"/>
          <w:highlight w:val="none"/>
          <w:lang w:val="en-US" w:eastAsia="zh-CN" w:bidi="ar-SA"/>
        </w:rPr>
      </w:pPr>
    </w:p>
    <w:p>
      <w:pPr>
        <w:kinsoku/>
        <w:wordWrap/>
        <w:overflowPunct/>
        <w:topLinePunct w:val="0"/>
        <w:bidi w:val="0"/>
        <w:spacing w:line="360" w:lineRule="auto"/>
        <w:jc w:val="center"/>
        <w:rPr>
          <w:rFonts w:hint="default" w:ascii="宋体" w:hAnsi="宋体" w:eastAsia="宋体" w:cs="宋体"/>
          <w:b/>
          <w:bCs/>
          <w:color w:val="auto"/>
          <w:kern w:val="2"/>
          <w:sz w:val="48"/>
          <w:szCs w:val="48"/>
          <w:highlight w:val="none"/>
          <w:lang w:val="en-US" w:eastAsia="zh-CN" w:bidi="ar-SA"/>
        </w:rPr>
      </w:pPr>
      <w:r>
        <w:rPr>
          <w:rFonts w:hint="eastAsia" w:ascii="宋体" w:hAnsi="宋体" w:cs="宋体"/>
          <w:b/>
          <w:bCs/>
          <w:color w:val="auto"/>
          <w:kern w:val="2"/>
          <w:sz w:val="48"/>
          <w:szCs w:val="48"/>
          <w:highlight w:val="none"/>
          <w:lang w:val="en-US" w:eastAsia="zh-CN" w:bidi="ar-SA"/>
        </w:rPr>
        <w:t>姚家港化工特勤消防站项目监理单位采购</w:t>
      </w:r>
    </w:p>
    <w:p>
      <w:pPr>
        <w:kinsoku/>
        <w:wordWrap/>
        <w:overflowPunct/>
        <w:topLinePunct w:val="0"/>
        <w:bidi w:val="0"/>
        <w:spacing w:line="360" w:lineRule="auto"/>
        <w:jc w:val="center"/>
        <w:rPr>
          <w:rFonts w:hint="eastAsia" w:ascii="宋体" w:hAnsi="宋体" w:eastAsia="宋体" w:cs="宋体"/>
          <w:b/>
          <w:color w:val="auto"/>
          <w:sz w:val="72"/>
          <w:highlight w:val="none"/>
        </w:rPr>
      </w:pPr>
    </w:p>
    <w:p>
      <w:pPr>
        <w:kinsoku/>
        <w:wordWrap/>
        <w:overflowPunct/>
        <w:topLinePunct w:val="0"/>
        <w:bidi w:val="0"/>
        <w:spacing w:line="360" w:lineRule="auto"/>
        <w:jc w:val="both"/>
        <w:rPr>
          <w:rFonts w:hint="eastAsia" w:ascii="宋体" w:hAnsi="宋体" w:eastAsia="宋体" w:cs="宋体"/>
          <w:b/>
          <w:color w:val="auto"/>
          <w:sz w:val="72"/>
          <w:highlight w:val="none"/>
          <w:lang w:eastAsia="zh-CN"/>
        </w:rPr>
      </w:pPr>
    </w:p>
    <w:p>
      <w:pPr>
        <w:pStyle w:val="35"/>
        <w:rPr>
          <w:rFonts w:hint="eastAsia"/>
          <w:color w:val="auto"/>
          <w:highlight w:val="none"/>
          <w:lang w:eastAsia="zh-CN"/>
        </w:rPr>
      </w:pPr>
    </w:p>
    <w:p>
      <w:pPr>
        <w:kinsoku/>
        <w:wordWrap/>
        <w:overflowPunct/>
        <w:topLinePunct w:val="0"/>
        <w:bidi w:val="0"/>
        <w:spacing w:line="360" w:lineRule="auto"/>
        <w:jc w:val="center"/>
        <w:rPr>
          <w:rFonts w:hint="eastAsia" w:ascii="宋体" w:hAnsi="宋体" w:eastAsia="宋体" w:cs="宋体"/>
          <w:b/>
          <w:color w:val="auto"/>
          <w:sz w:val="72"/>
          <w:highlight w:val="none"/>
        </w:rPr>
      </w:pPr>
      <w:r>
        <w:rPr>
          <w:rFonts w:hint="eastAsia" w:ascii="宋体" w:hAnsi="宋体" w:eastAsia="宋体" w:cs="宋体"/>
          <w:b/>
          <w:color w:val="auto"/>
          <w:sz w:val="72"/>
          <w:highlight w:val="none"/>
        </w:rPr>
        <w:t>竞争性磋商响应文件</w:t>
      </w:r>
    </w:p>
    <w:p>
      <w:pPr>
        <w:kinsoku/>
        <w:wordWrap/>
        <w:overflowPunct/>
        <w:topLinePunct w:val="0"/>
        <w:bidi w:val="0"/>
        <w:spacing w:line="360" w:lineRule="auto"/>
        <w:rPr>
          <w:rFonts w:hint="eastAsia" w:ascii="宋体" w:hAnsi="宋体" w:eastAsia="宋体" w:cs="宋体"/>
          <w:b/>
          <w:color w:val="auto"/>
          <w:sz w:val="36"/>
          <w:highlight w:val="none"/>
        </w:rPr>
      </w:pPr>
    </w:p>
    <w:p>
      <w:pPr>
        <w:kinsoku/>
        <w:wordWrap/>
        <w:overflowPunct/>
        <w:topLinePunct w:val="0"/>
        <w:bidi w:val="0"/>
        <w:spacing w:line="360" w:lineRule="auto"/>
        <w:ind w:left="1016" w:firstLine="1084" w:firstLineChars="300"/>
        <w:jc w:val="both"/>
        <w:rPr>
          <w:rFonts w:hint="eastAsia" w:ascii="宋体" w:hAnsi="宋体" w:eastAsia="宋体" w:cs="宋体"/>
          <w:b/>
          <w:color w:val="auto"/>
          <w:sz w:val="36"/>
          <w:highlight w:val="none"/>
          <w:u w:val="single"/>
        </w:rPr>
      </w:pPr>
      <w:r>
        <w:rPr>
          <w:rFonts w:hint="eastAsia" w:ascii="宋体" w:hAnsi="宋体" w:eastAsia="宋体" w:cs="宋体"/>
          <w:b/>
          <w:color w:val="auto"/>
          <w:sz w:val="36"/>
          <w:highlight w:val="none"/>
        </w:rPr>
        <w:t>项目编号：</w:t>
      </w:r>
      <w:r>
        <w:rPr>
          <w:rFonts w:hint="eastAsia" w:ascii="宋体" w:hAnsi="宋体" w:eastAsia="宋体" w:cs="宋体"/>
          <w:b/>
          <w:color w:val="auto"/>
          <w:sz w:val="36"/>
          <w:highlight w:val="none"/>
          <w:u w:val="single"/>
        </w:rPr>
        <w:t xml:space="preserve">               </w:t>
      </w:r>
    </w:p>
    <w:p>
      <w:pPr>
        <w:kinsoku/>
        <w:wordWrap/>
        <w:overflowPunct/>
        <w:topLinePunct w:val="0"/>
        <w:bidi w:val="0"/>
        <w:spacing w:line="360" w:lineRule="auto"/>
        <w:ind w:left="1016" w:firstLine="1084" w:firstLineChars="300"/>
        <w:jc w:val="both"/>
        <w:rPr>
          <w:rFonts w:hint="eastAsia" w:ascii="宋体" w:hAnsi="宋体" w:eastAsia="宋体" w:cs="宋体"/>
          <w:b/>
          <w:color w:val="auto"/>
          <w:sz w:val="36"/>
          <w:highlight w:val="none"/>
        </w:rPr>
      </w:pPr>
      <w:r>
        <w:rPr>
          <w:rFonts w:hint="eastAsia" w:ascii="宋体" w:hAnsi="宋体" w:eastAsia="宋体" w:cs="宋体"/>
          <w:b/>
          <w:color w:val="auto"/>
          <w:sz w:val="36"/>
          <w:highlight w:val="none"/>
        </w:rPr>
        <w:t>项目名称：</w:t>
      </w:r>
      <w:r>
        <w:rPr>
          <w:rFonts w:hint="eastAsia" w:ascii="宋体" w:hAnsi="宋体" w:eastAsia="宋体" w:cs="宋体"/>
          <w:b/>
          <w:color w:val="auto"/>
          <w:sz w:val="36"/>
          <w:highlight w:val="none"/>
          <w:u w:val="single"/>
        </w:rPr>
        <w:t xml:space="preserve">               </w:t>
      </w:r>
    </w:p>
    <w:p>
      <w:pPr>
        <w:kinsoku/>
        <w:wordWrap/>
        <w:overflowPunct/>
        <w:topLinePunct w:val="0"/>
        <w:bidi w:val="0"/>
        <w:spacing w:line="360" w:lineRule="auto"/>
        <w:ind w:left="1680" w:firstLine="420"/>
        <w:jc w:val="both"/>
        <w:rPr>
          <w:rFonts w:hint="eastAsia" w:ascii="宋体" w:hAnsi="宋体" w:eastAsia="宋体" w:cs="宋体"/>
          <w:b/>
          <w:color w:val="auto"/>
          <w:sz w:val="36"/>
          <w:highlight w:val="none"/>
          <w:u w:val="single"/>
        </w:rPr>
      </w:pPr>
      <w:r>
        <w:rPr>
          <w:rFonts w:hint="eastAsia" w:ascii="宋体" w:hAnsi="宋体" w:eastAsia="宋体" w:cs="宋体"/>
          <w:b/>
          <w:color w:val="auto"/>
          <w:sz w:val="36"/>
          <w:highlight w:val="none"/>
        </w:rPr>
        <w:t>供应商名称 ：</w:t>
      </w:r>
      <w:r>
        <w:rPr>
          <w:rFonts w:hint="eastAsia" w:ascii="宋体" w:hAnsi="宋体" w:eastAsia="宋体" w:cs="宋体"/>
          <w:b/>
          <w:color w:val="auto"/>
          <w:sz w:val="36"/>
          <w:highlight w:val="none"/>
          <w:u w:val="single"/>
        </w:rPr>
        <w:t xml:space="preserve">            </w:t>
      </w:r>
    </w:p>
    <w:p>
      <w:pPr>
        <w:kinsoku/>
        <w:wordWrap/>
        <w:overflowPunct/>
        <w:topLinePunct w:val="0"/>
        <w:bidi w:val="0"/>
        <w:spacing w:line="360" w:lineRule="auto"/>
        <w:ind w:left="1680" w:firstLine="420"/>
        <w:jc w:val="both"/>
        <w:rPr>
          <w:rFonts w:hint="eastAsia" w:ascii="宋体" w:hAnsi="宋体" w:eastAsia="宋体" w:cs="宋体"/>
          <w:b/>
          <w:color w:val="auto"/>
          <w:sz w:val="36"/>
          <w:highlight w:val="none"/>
        </w:rPr>
      </w:pPr>
      <w:r>
        <w:rPr>
          <w:rFonts w:hint="eastAsia" w:ascii="宋体" w:hAnsi="宋体" w:eastAsia="宋体" w:cs="宋体"/>
          <w:b/>
          <w:color w:val="auto"/>
          <w:sz w:val="36"/>
          <w:highlight w:val="none"/>
        </w:rPr>
        <w:t>日    期：</w:t>
      </w:r>
      <w:r>
        <w:rPr>
          <w:rFonts w:hint="eastAsia" w:ascii="宋体" w:hAnsi="宋体" w:eastAsia="宋体" w:cs="宋体"/>
          <w:b/>
          <w:color w:val="auto"/>
          <w:sz w:val="36"/>
          <w:highlight w:val="none"/>
          <w:u w:val="single"/>
        </w:rPr>
        <w:t xml:space="preserve">               </w:t>
      </w:r>
    </w:p>
    <w:p>
      <w:pPr>
        <w:pStyle w:val="37"/>
        <w:kinsoku/>
        <w:wordWrap/>
        <w:overflowPunct/>
        <w:topLinePunct w:val="0"/>
        <w:bidi w:val="0"/>
        <w:spacing w:line="360" w:lineRule="auto"/>
        <w:ind w:firstLine="1389" w:firstLineChars="494"/>
        <w:rPr>
          <w:rFonts w:hint="eastAsia" w:ascii="宋体" w:hAnsi="宋体" w:eastAsia="宋体" w:cs="宋体"/>
          <w:b/>
          <w:color w:val="auto"/>
          <w:sz w:val="28"/>
          <w:szCs w:val="28"/>
          <w:highlight w:val="none"/>
        </w:rPr>
      </w:pPr>
    </w:p>
    <w:p>
      <w:pPr>
        <w:pStyle w:val="37"/>
        <w:kinsoku/>
        <w:wordWrap/>
        <w:overflowPunct/>
        <w:topLinePunct w:val="0"/>
        <w:bidi w:val="0"/>
        <w:spacing w:line="360" w:lineRule="auto"/>
        <w:ind w:firstLine="1389" w:firstLineChars="494"/>
        <w:rPr>
          <w:rFonts w:hint="eastAsia" w:ascii="宋体" w:hAnsi="宋体" w:eastAsia="宋体" w:cs="宋体"/>
          <w:b/>
          <w:color w:val="auto"/>
          <w:sz w:val="28"/>
          <w:szCs w:val="28"/>
          <w:highlight w:val="none"/>
        </w:rPr>
      </w:pPr>
    </w:p>
    <w:p>
      <w:pPr>
        <w:pStyle w:val="37"/>
        <w:kinsoku/>
        <w:wordWrap/>
        <w:overflowPunct/>
        <w:topLinePunct w:val="0"/>
        <w:bidi w:val="0"/>
        <w:spacing w:line="360" w:lineRule="auto"/>
        <w:ind w:firstLine="1389" w:firstLineChars="494"/>
        <w:rPr>
          <w:rFonts w:hint="eastAsia" w:ascii="宋体" w:hAnsi="宋体" w:eastAsia="宋体" w:cs="宋体"/>
          <w:b/>
          <w:color w:val="auto"/>
          <w:sz w:val="28"/>
          <w:szCs w:val="28"/>
          <w:highlight w:val="none"/>
        </w:rPr>
      </w:pPr>
    </w:p>
    <w:p>
      <w:pPr>
        <w:pStyle w:val="37"/>
        <w:kinsoku/>
        <w:wordWrap/>
        <w:overflowPunct/>
        <w:topLinePunct w:val="0"/>
        <w:bidi w:val="0"/>
        <w:spacing w:line="360" w:lineRule="auto"/>
        <w:rPr>
          <w:rFonts w:hint="eastAsia" w:ascii="宋体" w:hAnsi="宋体" w:eastAsia="宋体" w:cs="宋体"/>
          <w:b/>
          <w:color w:val="auto"/>
          <w:sz w:val="28"/>
          <w:szCs w:val="28"/>
          <w:highlight w:val="none"/>
          <w:lang w:eastAsia="zh-CN"/>
        </w:rPr>
      </w:pPr>
    </w:p>
    <w:p>
      <w:pPr>
        <w:kinsoku/>
        <w:wordWrap/>
        <w:overflowPunct/>
        <w:topLinePunct w:val="0"/>
        <w:bidi w:val="0"/>
        <w:spacing w:line="360" w:lineRule="auto"/>
        <w:jc w:val="center"/>
        <w:rPr>
          <w:rFonts w:hint="eastAsia" w:ascii="宋体" w:hAnsi="宋体" w:eastAsia="宋体" w:cs="宋体"/>
          <w:b/>
          <w:color w:val="auto"/>
          <w:highlight w:val="none"/>
        </w:rPr>
      </w:pPr>
      <w:r>
        <w:rPr>
          <w:rFonts w:hint="eastAsia" w:ascii="宋体" w:hAnsi="宋体" w:eastAsia="宋体" w:cs="宋体"/>
          <w:b/>
          <w:color w:val="auto"/>
          <w:highlight w:val="none"/>
        </w:rPr>
        <w:t>目   录</w:t>
      </w:r>
    </w:p>
    <w:bookmarkEnd w:id="147"/>
    <w:p>
      <w:pPr>
        <w:pStyle w:val="10"/>
        <w:kinsoku/>
        <w:wordWrap/>
        <w:overflowPunct/>
        <w:topLinePunct w:val="0"/>
        <w:bidi w:val="0"/>
        <w:spacing w:line="360" w:lineRule="auto"/>
        <w:ind w:firstLine="484" w:firstLineChars="202"/>
        <w:rPr>
          <w:rFonts w:hint="eastAsia" w:ascii="宋体" w:hAnsi="宋体" w:eastAsia="宋体" w:cs="宋体"/>
          <w:color w:val="auto"/>
          <w:szCs w:val="24"/>
          <w:highlight w:val="none"/>
        </w:rPr>
      </w:pPr>
      <w:r>
        <w:rPr>
          <w:rFonts w:hint="eastAsia" w:ascii="宋体" w:hAnsi="宋体" w:eastAsia="宋体" w:cs="宋体"/>
          <w:color w:val="auto"/>
          <w:szCs w:val="24"/>
          <w:highlight w:val="none"/>
        </w:rPr>
        <w:t>供应商编制的响应文件应包括但不少于下列内容：</w:t>
      </w:r>
    </w:p>
    <w:p>
      <w:pPr>
        <w:pStyle w:val="12"/>
        <w:kinsoku/>
        <w:wordWrap/>
        <w:overflowPunct/>
        <w:topLinePunct w:val="0"/>
        <w:bidi w:val="0"/>
        <w:spacing w:line="360" w:lineRule="auto"/>
        <w:ind w:firstLine="482" w:firstLineChars="201"/>
        <w:contextualSpacing/>
        <w:rPr>
          <w:rFonts w:hint="eastAsia" w:ascii="宋体" w:hAnsi="宋体" w:eastAsia="宋体" w:cs="宋体"/>
          <w:color w:val="auto"/>
          <w:szCs w:val="24"/>
          <w:highlight w:val="none"/>
        </w:rPr>
      </w:pPr>
      <w:r>
        <w:rPr>
          <w:rFonts w:hint="eastAsia" w:ascii="宋体" w:hAnsi="宋体" w:eastAsia="宋体" w:cs="宋体"/>
          <w:color w:val="auto"/>
          <w:szCs w:val="24"/>
          <w:highlight w:val="none"/>
        </w:rPr>
        <w:t>（1）竞争性磋商响应函；</w:t>
      </w:r>
    </w:p>
    <w:p>
      <w:pPr>
        <w:pStyle w:val="12"/>
        <w:kinsoku/>
        <w:wordWrap/>
        <w:overflowPunct/>
        <w:topLinePunct w:val="0"/>
        <w:bidi w:val="0"/>
        <w:spacing w:line="360" w:lineRule="auto"/>
        <w:ind w:firstLine="482" w:firstLineChars="201"/>
        <w:contextualSpacing/>
        <w:rPr>
          <w:rFonts w:hint="eastAsia" w:ascii="宋体" w:hAnsi="宋体" w:eastAsia="宋体" w:cs="宋体"/>
          <w:color w:val="auto"/>
          <w:szCs w:val="24"/>
          <w:highlight w:val="none"/>
        </w:rPr>
      </w:pPr>
      <w:r>
        <w:rPr>
          <w:rFonts w:hint="eastAsia" w:ascii="宋体" w:hAnsi="宋体" w:eastAsia="宋体" w:cs="宋体"/>
          <w:color w:val="auto"/>
          <w:szCs w:val="24"/>
          <w:highlight w:val="none"/>
        </w:rPr>
        <w:t>（2）磋商报价</w:t>
      </w:r>
      <w:r>
        <w:rPr>
          <w:rFonts w:hint="eastAsia" w:hAnsi="宋体" w:eastAsia="宋体" w:cs="宋体"/>
          <w:color w:val="auto"/>
          <w:szCs w:val="24"/>
          <w:highlight w:val="none"/>
          <w:lang w:eastAsia="zh-CN"/>
        </w:rPr>
        <w:t>表</w:t>
      </w:r>
      <w:r>
        <w:rPr>
          <w:rFonts w:hint="eastAsia" w:ascii="宋体" w:hAnsi="宋体" w:eastAsia="宋体" w:cs="宋体"/>
          <w:color w:val="auto"/>
          <w:szCs w:val="24"/>
          <w:highlight w:val="none"/>
        </w:rPr>
        <w:t>；</w:t>
      </w:r>
    </w:p>
    <w:p>
      <w:pPr>
        <w:pStyle w:val="12"/>
        <w:kinsoku/>
        <w:wordWrap/>
        <w:overflowPunct/>
        <w:topLinePunct w:val="0"/>
        <w:bidi w:val="0"/>
        <w:spacing w:line="360" w:lineRule="auto"/>
        <w:ind w:firstLine="482" w:firstLineChars="201"/>
        <w:contextualSpacing/>
        <w:rPr>
          <w:rFonts w:hint="eastAsia" w:ascii="宋体" w:hAnsi="宋体" w:eastAsia="宋体" w:cs="宋体"/>
          <w:color w:val="auto"/>
          <w:szCs w:val="24"/>
          <w:highlight w:val="none"/>
        </w:rPr>
      </w:pPr>
      <w:r>
        <w:rPr>
          <w:rFonts w:hint="eastAsia" w:ascii="宋体" w:hAnsi="宋体" w:eastAsia="宋体" w:cs="宋体"/>
          <w:color w:val="auto"/>
          <w:szCs w:val="24"/>
          <w:highlight w:val="none"/>
        </w:rPr>
        <w:t>（3）法定代表人身份证明书；</w:t>
      </w:r>
    </w:p>
    <w:p>
      <w:pPr>
        <w:pStyle w:val="12"/>
        <w:kinsoku/>
        <w:wordWrap/>
        <w:overflowPunct/>
        <w:topLinePunct w:val="0"/>
        <w:bidi w:val="0"/>
        <w:spacing w:line="360" w:lineRule="auto"/>
        <w:ind w:firstLine="482" w:firstLineChars="201"/>
        <w:contextualSpacing/>
        <w:rPr>
          <w:rFonts w:hint="eastAsia" w:ascii="宋体" w:hAnsi="宋体" w:eastAsia="宋体" w:cs="宋体"/>
          <w:color w:val="auto"/>
          <w:szCs w:val="24"/>
          <w:highlight w:val="none"/>
        </w:rPr>
      </w:pPr>
      <w:r>
        <w:rPr>
          <w:rFonts w:hint="eastAsia" w:ascii="宋体" w:hAnsi="宋体" w:eastAsia="宋体" w:cs="宋体"/>
          <w:color w:val="auto"/>
          <w:szCs w:val="24"/>
          <w:highlight w:val="none"/>
        </w:rPr>
        <w:t>（4）法定代表人授权委托书（如有授权）；</w:t>
      </w:r>
    </w:p>
    <w:p>
      <w:pPr>
        <w:pStyle w:val="12"/>
        <w:kinsoku/>
        <w:wordWrap/>
        <w:overflowPunct/>
        <w:topLinePunct w:val="0"/>
        <w:bidi w:val="0"/>
        <w:spacing w:line="360" w:lineRule="auto"/>
        <w:ind w:firstLine="482" w:firstLineChars="201"/>
        <w:contextualSpacing/>
        <w:rPr>
          <w:rFonts w:hint="eastAsia" w:ascii="宋体" w:hAnsi="宋体" w:eastAsia="宋体" w:cs="宋体"/>
          <w:color w:val="auto"/>
          <w:szCs w:val="24"/>
          <w:highlight w:val="none"/>
        </w:rPr>
      </w:pPr>
      <w:r>
        <w:rPr>
          <w:rFonts w:hint="eastAsia" w:ascii="宋体" w:hAnsi="宋体" w:eastAsia="宋体" w:cs="宋体"/>
          <w:color w:val="auto"/>
          <w:szCs w:val="24"/>
          <w:highlight w:val="none"/>
        </w:rPr>
        <w:t>（5）资格审查资料；</w:t>
      </w:r>
    </w:p>
    <w:p>
      <w:pPr>
        <w:pStyle w:val="12"/>
        <w:kinsoku/>
        <w:wordWrap/>
        <w:overflowPunct/>
        <w:topLinePunct w:val="0"/>
        <w:bidi w:val="0"/>
        <w:spacing w:line="360" w:lineRule="auto"/>
        <w:ind w:firstLine="482" w:firstLineChars="201"/>
        <w:contextualSpacing/>
        <w:rPr>
          <w:rFonts w:hint="eastAsia" w:ascii="宋体" w:hAnsi="宋体" w:eastAsia="宋体" w:cs="宋体"/>
          <w:color w:val="auto"/>
          <w:szCs w:val="24"/>
          <w:highlight w:val="none"/>
        </w:rPr>
      </w:pPr>
      <w:r>
        <w:rPr>
          <w:rFonts w:hint="eastAsia" w:ascii="宋体" w:hAnsi="宋体" w:eastAsia="宋体" w:cs="宋体"/>
          <w:color w:val="auto"/>
          <w:szCs w:val="24"/>
          <w:highlight w:val="none"/>
        </w:rPr>
        <w:t>（6）拟派项目人员（附身份证、</w:t>
      </w:r>
      <w:r>
        <w:rPr>
          <w:rFonts w:hint="eastAsia" w:ascii="宋体" w:hAnsi="宋体" w:eastAsia="宋体" w:cs="宋体"/>
          <w:color w:val="auto"/>
          <w:szCs w:val="24"/>
          <w:highlight w:val="none"/>
          <w:lang w:val="en-US" w:eastAsia="zh-CN"/>
        </w:rPr>
        <w:t>资格证</w:t>
      </w:r>
      <w:r>
        <w:rPr>
          <w:rFonts w:hint="eastAsia" w:ascii="宋体" w:hAnsi="宋体" w:eastAsia="宋体" w:cs="宋体"/>
          <w:color w:val="auto"/>
          <w:szCs w:val="24"/>
          <w:highlight w:val="none"/>
        </w:rPr>
        <w:t>等）；</w:t>
      </w:r>
    </w:p>
    <w:p>
      <w:pPr>
        <w:pStyle w:val="12"/>
        <w:kinsoku/>
        <w:wordWrap/>
        <w:overflowPunct/>
        <w:topLinePunct w:val="0"/>
        <w:bidi w:val="0"/>
        <w:spacing w:line="360" w:lineRule="auto"/>
        <w:ind w:firstLine="482" w:firstLineChars="201"/>
        <w:contextualSpacing/>
        <w:rPr>
          <w:rFonts w:hint="eastAsia" w:ascii="宋体" w:hAnsi="宋体" w:eastAsia="宋体" w:cs="宋体"/>
          <w:color w:val="auto"/>
          <w:szCs w:val="24"/>
          <w:highlight w:val="none"/>
        </w:rPr>
      </w:pPr>
      <w:r>
        <w:rPr>
          <w:rFonts w:hint="eastAsia" w:ascii="宋体" w:hAnsi="宋体" w:eastAsia="宋体" w:cs="宋体"/>
          <w:color w:val="auto"/>
          <w:szCs w:val="24"/>
          <w:highlight w:val="none"/>
        </w:rPr>
        <w:t>（7）工作方案（含工作进度、质量控制保障措施及技术服务承诺等）；</w:t>
      </w:r>
    </w:p>
    <w:p>
      <w:pPr>
        <w:pStyle w:val="12"/>
        <w:kinsoku/>
        <w:wordWrap/>
        <w:overflowPunct/>
        <w:topLinePunct w:val="0"/>
        <w:bidi w:val="0"/>
        <w:spacing w:line="360" w:lineRule="auto"/>
        <w:ind w:firstLine="482" w:firstLineChars="201"/>
        <w:contextualSpacing/>
        <w:rPr>
          <w:rFonts w:hint="eastAsia" w:ascii="宋体" w:hAnsi="宋体" w:eastAsia="宋体" w:cs="宋体"/>
          <w:color w:val="auto"/>
          <w:sz w:val="28"/>
          <w:szCs w:val="28"/>
          <w:highlight w:val="none"/>
        </w:rPr>
      </w:pPr>
      <w:r>
        <w:rPr>
          <w:rFonts w:hint="eastAsia" w:ascii="宋体" w:hAnsi="宋体" w:eastAsia="宋体" w:cs="宋体"/>
          <w:color w:val="auto"/>
          <w:szCs w:val="24"/>
          <w:highlight w:val="none"/>
        </w:rPr>
        <w:t>（8）供应商应提交的其他证明材料（磋商所需相关证件资料）。</w:t>
      </w:r>
    </w:p>
    <w:p>
      <w:pPr>
        <w:pStyle w:val="9"/>
        <w:kinsoku/>
        <w:wordWrap/>
        <w:overflowPunct/>
        <w:topLinePunct w:val="0"/>
        <w:bidi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br w:type="page"/>
      </w:r>
      <w:bookmarkStart w:id="148" w:name="_Toc29947"/>
      <w:bookmarkStart w:id="149" w:name="_Toc22340"/>
      <w:bookmarkStart w:id="150" w:name="_Toc6460"/>
      <w:r>
        <w:rPr>
          <w:rFonts w:hint="eastAsia" w:ascii="宋体" w:hAnsi="宋体" w:eastAsia="宋体" w:cs="宋体"/>
          <w:color w:val="auto"/>
          <w:sz w:val="24"/>
          <w:szCs w:val="24"/>
          <w:highlight w:val="none"/>
        </w:rPr>
        <w:t>附件一</w:t>
      </w:r>
      <w:bookmarkEnd w:id="148"/>
      <w:bookmarkEnd w:id="149"/>
      <w:bookmarkEnd w:id="150"/>
    </w:p>
    <w:p>
      <w:pPr>
        <w:kinsoku/>
        <w:wordWrap/>
        <w:overflowPunct/>
        <w:topLinePunct w:val="0"/>
        <w:bidi w:val="0"/>
        <w:spacing w:line="360" w:lineRule="auto"/>
        <w:jc w:val="center"/>
        <w:rPr>
          <w:rFonts w:hint="eastAsia" w:ascii="宋体" w:hAnsi="宋体" w:eastAsia="宋体" w:cs="宋体"/>
          <w:color w:val="auto"/>
          <w:sz w:val="28"/>
          <w:szCs w:val="24"/>
          <w:highlight w:val="none"/>
        </w:rPr>
      </w:pPr>
      <w:r>
        <w:rPr>
          <w:rFonts w:hint="eastAsia" w:ascii="宋体" w:hAnsi="宋体" w:eastAsia="宋体" w:cs="宋体"/>
          <w:b/>
          <w:bCs/>
          <w:color w:val="auto"/>
          <w:sz w:val="28"/>
          <w:szCs w:val="24"/>
          <w:highlight w:val="none"/>
        </w:rPr>
        <w:t>竞争性磋商响应函</w:t>
      </w:r>
    </w:p>
    <w:p>
      <w:pPr>
        <w:pStyle w:val="37"/>
        <w:spacing w:line="440" w:lineRule="exact"/>
        <w:rPr>
          <w:rFonts w:hint="eastAsia" w:hAnsi="宋体"/>
          <w:color w:val="auto"/>
          <w:sz w:val="28"/>
          <w:szCs w:val="28"/>
          <w:highlight w:val="none"/>
          <w:u w:val="single"/>
        </w:rPr>
      </w:pPr>
      <w:r>
        <w:rPr>
          <w:rFonts w:hint="eastAsia" w:hAnsi="宋体"/>
          <w:color w:val="auto"/>
          <w:sz w:val="28"/>
          <w:szCs w:val="28"/>
          <w:highlight w:val="none"/>
          <w:u w:val="single"/>
        </w:rPr>
        <w:t>（代理机构名称）：</w:t>
      </w:r>
    </w:p>
    <w:p>
      <w:pPr>
        <w:pStyle w:val="37"/>
        <w:spacing w:line="440" w:lineRule="exact"/>
        <w:ind w:firstLine="426"/>
        <w:rPr>
          <w:rFonts w:hint="eastAsia" w:hAnsi="宋体"/>
          <w:color w:val="auto"/>
          <w:sz w:val="28"/>
          <w:szCs w:val="28"/>
          <w:highlight w:val="none"/>
        </w:rPr>
      </w:pPr>
      <w:r>
        <w:rPr>
          <w:rFonts w:hint="eastAsia" w:hAnsi="宋体"/>
          <w:color w:val="auto"/>
          <w:sz w:val="28"/>
          <w:szCs w:val="28"/>
          <w:highlight w:val="none"/>
        </w:rPr>
        <w:t xml:space="preserve">根据贵方 </w:t>
      </w:r>
      <w:r>
        <w:rPr>
          <w:rFonts w:hint="eastAsia" w:hAnsi="宋体"/>
          <w:color w:val="auto"/>
          <w:sz w:val="28"/>
          <w:szCs w:val="28"/>
          <w:highlight w:val="none"/>
          <w:u w:val="single"/>
        </w:rPr>
        <w:t xml:space="preserve">(采购项目名称/采购项目编号) </w:t>
      </w:r>
      <w:r>
        <w:rPr>
          <w:rFonts w:hint="eastAsia" w:hAnsi="宋体"/>
          <w:color w:val="auto"/>
          <w:sz w:val="28"/>
          <w:szCs w:val="28"/>
          <w:highlight w:val="none"/>
        </w:rPr>
        <w:t>项目政府采购的磋商邀请，我方代表</w:t>
      </w:r>
      <w:r>
        <w:rPr>
          <w:rFonts w:hint="eastAsia" w:hAnsi="宋体"/>
          <w:color w:val="auto"/>
          <w:sz w:val="28"/>
          <w:szCs w:val="28"/>
          <w:highlight w:val="none"/>
          <w:u w:val="single"/>
        </w:rPr>
        <w:t>（姓名、职务）</w:t>
      </w:r>
      <w:r>
        <w:rPr>
          <w:rFonts w:hint="eastAsia" w:hAnsi="宋体"/>
          <w:color w:val="auto"/>
          <w:sz w:val="28"/>
          <w:szCs w:val="28"/>
          <w:highlight w:val="none"/>
        </w:rPr>
        <w:t>被正式授权代表磋商供应商</w:t>
      </w:r>
      <w:r>
        <w:rPr>
          <w:rFonts w:hint="eastAsia" w:hAnsi="宋体"/>
          <w:color w:val="auto"/>
          <w:sz w:val="28"/>
          <w:szCs w:val="28"/>
          <w:highlight w:val="none"/>
          <w:u w:val="single"/>
        </w:rPr>
        <w:t>（磋商供应商名称、地址）</w:t>
      </w:r>
      <w:r>
        <w:rPr>
          <w:rFonts w:hint="eastAsia" w:hAnsi="宋体"/>
          <w:color w:val="auto"/>
          <w:sz w:val="28"/>
          <w:szCs w:val="28"/>
          <w:highlight w:val="none"/>
        </w:rPr>
        <w:t>，向贵方提交响应文件二份，电子文件U盘一份。</w:t>
      </w:r>
    </w:p>
    <w:p>
      <w:pPr>
        <w:pStyle w:val="37"/>
        <w:spacing w:line="440" w:lineRule="exact"/>
        <w:ind w:firstLine="426"/>
        <w:rPr>
          <w:rFonts w:hint="eastAsia" w:hAnsi="宋体"/>
          <w:color w:val="auto"/>
          <w:sz w:val="28"/>
          <w:szCs w:val="28"/>
          <w:highlight w:val="none"/>
        </w:rPr>
      </w:pPr>
      <w:r>
        <w:rPr>
          <w:rFonts w:hint="eastAsia" w:hAnsi="宋体"/>
          <w:color w:val="auto"/>
          <w:sz w:val="28"/>
          <w:szCs w:val="28"/>
          <w:highlight w:val="none"/>
        </w:rPr>
        <w:t>1．报价一览表；</w:t>
      </w:r>
    </w:p>
    <w:p>
      <w:pPr>
        <w:pStyle w:val="37"/>
        <w:spacing w:line="440" w:lineRule="exact"/>
        <w:ind w:firstLine="426"/>
        <w:rPr>
          <w:rFonts w:hint="eastAsia" w:hAnsi="宋体"/>
          <w:color w:val="auto"/>
          <w:sz w:val="28"/>
          <w:szCs w:val="28"/>
          <w:highlight w:val="none"/>
        </w:rPr>
      </w:pPr>
      <w:r>
        <w:rPr>
          <w:rFonts w:hint="eastAsia" w:hAnsi="宋体"/>
          <w:color w:val="auto"/>
          <w:sz w:val="28"/>
          <w:szCs w:val="28"/>
          <w:highlight w:val="none"/>
        </w:rPr>
        <w:t>2．服务方案；</w:t>
      </w:r>
    </w:p>
    <w:p>
      <w:pPr>
        <w:pStyle w:val="37"/>
        <w:spacing w:line="440" w:lineRule="exact"/>
        <w:ind w:firstLine="426"/>
        <w:rPr>
          <w:rFonts w:hint="eastAsia" w:hAnsi="宋体"/>
          <w:color w:val="auto"/>
          <w:sz w:val="28"/>
          <w:szCs w:val="28"/>
          <w:highlight w:val="none"/>
        </w:rPr>
      </w:pPr>
      <w:r>
        <w:rPr>
          <w:rFonts w:hint="eastAsia" w:hAnsi="宋体"/>
          <w:color w:val="auto"/>
          <w:sz w:val="28"/>
          <w:szCs w:val="28"/>
          <w:highlight w:val="none"/>
        </w:rPr>
        <w:t>3．按磋商文件磋商须知和技术规格要求提供的有关文件；</w:t>
      </w:r>
    </w:p>
    <w:p>
      <w:pPr>
        <w:pStyle w:val="37"/>
        <w:spacing w:line="440" w:lineRule="exact"/>
        <w:ind w:firstLine="426"/>
        <w:rPr>
          <w:rFonts w:hint="eastAsia" w:hAnsi="宋体"/>
          <w:color w:val="auto"/>
          <w:sz w:val="28"/>
          <w:szCs w:val="28"/>
          <w:highlight w:val="none"/>
        </w:rPr>
      </w:pPr>
      <w:r>
        <w:rPr>
          <w:rFonts w:hint="eastAsia" w:hAnsi="宋体"/>
          <w:color w:val="auto"/>
          <w:sz w:val="28"/>
          <w:szCs w:val="28"/>
          <w:highlight w:val="none"/>
        </w:rPr>
        <w:t>4．资格证明文件；</w:t>
      </w:r>
    </w:p>
    <w:p>
      <w:pPr>
        <w:pStyle w:val="37"/>
        <w:spacing w:line="440" w:lineRule="exact"/>
        <w:ind w:firstLine="426"/>
        <w:rPr>
          <w:rFonts w:hint="eastAsia" w:hAnsi="宋体"/>
          <w:color w:val="auto"/>
          <w:sz w:val="28"/>
          <w:szCs w:val="28"/>
          <w:highlight w:val="none"/>
        </w:rPr>
      </w:pPr>
      <w:r>
        <w:rPr>
          <w:rFonts w:hint="eastAsia" w:hAnsi="宋体"/>
          <w:color w:val="auto"/>
          <w:sz w:val="28"/>
          <w:szCs w:val="28"/>
          <w:highlight w:val="none"/>
        </w:rPr>
        <w:t>在此，我方宣布同意如下：</w:t>
      </w:r>
    </w:p>
    <w:p>
      <w:pPr>
        <w:pStyle w:val="37"/>
        <w:spacing w:line="440" w:lineRule="exact"/>
        <w:ind w:firstLine="426"/>
        <w:rPr>
          <w:rFonts w:hint="eastAsia" w:hAnsi="宋体"/>
          <w:color w:val="auto"/>
          <w:sz w:val="28"/>
          <w:szCs w:val="28"/>
          <w:highlight w:val="none"/>
        </w:rPr>
      </w:pPr>
      <w:r>
        <w:rPr>
          <w:rFonts w:hint="eastAsia" w:hAnsi="宋体"/>
          <w:color w:val="auto"/>
          <w:sz w:val="28"/>
          <w:szCs w:val="28"/>
          <w:highlight w:val="none"/>
        </w:rPr>
        <w:t>（1）我方将按磋商文件的约定履行合同责任和义务。</w:t>
      </w:r>
    </w:p>
    <w:p>
      <w:pPr>
        <w:pStyle w:val="37"/>
        <w:spacing w:line="440" w:lineRule="exact"/>
        <w:ind w:firstLine="426"/>
        <w:rPr>
          <w:rFonts w:hint="eastAsia" w:hAnsi="宋体"/>
          <w:color w:val="auto"/>
          <w:sz w:val="28"/>
          <w:szCs w:val="28"/>
          <w:highlight w:val="none"/>
        </w:rPr>
      </w:pPr>
      <w:r>
        <w:rPr>
          <w:rFonts w:hint="eastAsia" w:hAnsi="宋体"/>
          <w:color w:val="auto"/>
          <w:sz w:val="28"/>
          <w:szCs w:val="28"/>
          <w:highlight w:val="none"/>
        </w:rPr>
        <w:t>（2）我方已审阅全部磋商文件，包括磋商文件的澄清和更正公告（如有）及相关附件，我方已完全理解磋商文件并对磋商文件不存在任何异议。</w:t>
      </w:r>
    </w:p>
    <w:p>
      <w:pPr>
        <w:pStyle w:val="37"/>
        <w:spacing w:line="440" w:lineRule="exact"/>
        <w:ind w:firstLine="426"/>
        <w:rPr>
          <w:rFonts w:hint="eastAsia" w:hAnsi="宋体"/>
          <w:color w:val="auto"/>
          <w:sz w:val="28"/>
          <w:szCs w:val="28"/>
          <w:highlight w:val="none"/>
        </w:rPr>
      </w:pPr>
      <w:r>
        <w:rPr>
          <w:rFonts w:hint="eastAsia" w:hAnsi="宋体"/>
          <w:color w:val="auto"/>
          <w:sz w:val="28"/>
          <w:szCs w:val="28"/>
          <w:highlight w:val="none"/>
        </w:rPr>
        <w:t>（3）所提交的响应文件在磋商文件规定的磋商有效期内有效，在此期间内如果成交，我方将受此约束。</w:t>
      </w:r>
    </w:p>
    <w:p>
      <w:pPr>
        <w:pStyle w:val="37"/>
        <w:spacing w:line="440" w:lineRule="exact"/>
        <w:ind w:firstLine="426"/>
        <w:rPr>
          <w:rFonts w:hint="eastAsia" w:hAnsi="宋体"/>
          <w:color w:val="auto"/>
          <w:sz w:val="28"/>
          <w:szCs w:val="28"/>
          <w:highlight w:val="none"/>
        </w:rPr>
      </w:pPr>
      <w:r>
        <w:rPr>
          <w:rFonts w:hint="eastAsia" w:hAnsi="宋体"/>
          <w:color w:val="auto"/>
          <w:sz w:val="28"/>
          <w:szCs w:val="28"/>
          <w:highlight w:val="none"/>
        </w:rPr>
        <w:t>（4）接受磋商文件中关于磋商保证金的约定。</w:t>
      </w:r>
    </w:p>
    <w:p>
      <w:pPr>
        <w:pStyle w:val="37"/>
        <w:spacing w:line="440" w:lineRule="exact"/>
        <w:ind w:firstLine="426"/>
        <w:rPr>
          <w:rFonts w:hint="eastAsia" w:hAnsi="宋体"/>
          <w:color w:val="auto"/>
          <w:sz w:val="28"/>
          <w:szCs w:val="28"/>
          <w:highlight w:val="none"/>
        </w:rPr>
      </w:pPr>
      <w:r>
        <w:rPr>
          <w:rFonts w:hint="eastAsia" w:hAnsi="宋体"/>
          <w:color w:val="auto"/>
          <w:sz w:val="28"/>
          <w:szCs w:val="28"/>
          <w:highlight w:val="none"/>
        </w:rPr>
        <w:t>（5）我方承诺所提交的响应文件及相关资料真实有效。</w:t>
      </w:r>
    </w:p>
    <w:p>
      <w:pPr>
        <w:pStyle w:val="37"/>
        <w:spacing w:line="440" w:lineRule="exact"/>
        <w:ind w:firstLine="426"/>
        <w:rPr>
          <w:rFonts w:hint="eastAsia" w:hAnsi="宋体"/>
          <w:color w:val="auto"/>
          <w:sz w:val="28"/>
          <w:szCs w:val="28"/>
          <w:highlight w:val="none"/>
          <w:u w:val="single"/>
        </w:rPr>
      </w:pPr>
      <w:r>
        <w:rPr>
          <w:rFonts w:hint="eastAsia" w:hAnsi="宋体"/>
          <w:color w:val="auto"/>
          <w:sz w:val="28"/>
          <w:szCs w:val="28"/>
          <w:highlight w:val="none"/>
        </w:rPr>
        <w:t>（6）与本磋商有关的一切正式往来信函请寄：</w:t>
      </w:r>
      <w:r>
        <w:rPr>
          <w:rFonts w:hint="eastAsia" w:hAnsi="宋体"/>
          <w:color w:val="auto"/>
          <w:sz w:val="28"/>
          <w:szCs w:val="28"/>
          <w:highlight w:val="none"/>
          <w:u w:val="single"/>
        </w:rPr>
        <w:t xml:space="preserve">              </w:t>
      </w:r>
      <w:r>
        <w:rPr>
          <w:rFonts w:hint="eastAsia" w:hAnsi="宋体"/>
          <w:color w:val="auto"/>
          <w:sz w:val="28"/>
          <w:szCs w:val="28"/>
          <w:highlight w:val="none"/>
        </w:rPr>
        <w:t>。</w:t>
      </w:r>
    </w:p>
    <w:p>
      <w:pPr>
        <w:pStyle w:val="37"/>
        <w:spacing w:line="440" w:lineRule="exact"/>
        <w:ind w:firstLine="426"/>
        <w:rPr>
          <w:rFonts w:hint="eastAsia" w:hAnsi="宋体"/>
          <w:color w:val="auto"/>
          <w:sz w:val="28"/>
          <w:szCs w:val="28"/>
          <w:highlight w:val="none"/>
          <w:u w:val="single"/>
        </w:rPr>
      </w:pPr>
      <w:r>
        <w:rPr>
          <w:rFonts w:hint="eastAsia" w:hAnsi="宋体"/>
          <w:color w:val="auto"/>
          <w:sz w:val="28"/>
          <w:szCs w:val="28"/>
          <w:highlight w:val="none"/>
        </w:rPr>
        <w:t>（7）其他：</w:t>
      </w:r>
      <w:r>
        <w:rPr>
          <w:rFonts w:hint="eastAsia" w:hAnsi="宋体"/>
          <w:color w:val="auto"/>
          <w:sz w:val="28"/>
          <w:szCs w:val="28"/>
          <w:highlight w:val="none"/>
          <w:u w:val="single"/>
        </w:rPr>
        <w:t>_______________________________</w:t>
      </w:r>
      <w:r>
        <w:rPr>
          <w:rFonts w:hint="eastAsia" w:hAnsi="宋体"/>
          <w:color w:val="auto"/>
          <w:sz w:val="28"/>
          <w:szCs w:val="28"/>
          <w:highlight w:val="none"/>
        </w:rPr>
        <w:t>。</w:t>
      </w:r>
    </w:p>
    <w:p>
      <w:pPr>
        <w:pStyle w:val="37"/>
        <w:spacing w:line="440" w:lineRule="exact"/>
        <w:ind w:firstLine="840"/>
        <w:rPr>
          <w:rFonts w:hint="eastAsia" w:hAnsi="宋体"/>
          <w:color w:val="auto"/>
          <w:sz w:val="28"/>
          <w:szCs w:val="28"/>
          <w:highlight w:val="none"/>
        </w:rPr>
      </w:pPr>
    </w:p>
    <w:p>
      <w:pPr>
        <w:pStyle w:val="37"/>
        <w:spacing w:line="440" w:lineRule="exact"/>
        <w:ind w:firstLine="840"/>
        <w:rPr>
          <w:rFonts w:hint="eastAsia" w:hAnsi="宋体"/>
          <w:color w:val="auto"/>
          <w:sz w:val="28"/>
          <w:szCs w:val="28"/>
          <w:highlight w:val="none"/>
          <w:u w:val="single"/>
        </w:rPr>
      </w:pPr>
      <w:r>
        <w:rPr>
          <w:rFonts w:hint="eastAsia" w:hAnsi="宋体"/>
          <w:color w:val="auto"/>
          <w:sz w:val="28"/>
          <w:szCs w:val="28"/>
          <w:highlight w:val="none"/>
        </w:rPr>
        <w:t>磋商供应商名称（签章）：</w:t>
      </w:r>
      <w:r>
        <w:rPr>
          <w:rFonts w:hint="eastAsia" w:hAnsi="宋体"/>
          <w:color w:val="auto"/>
          <w:sz w:val="28"/>
          <w:szCs w:val="28"/>
          <w:highlight w:val="none"/>
          <w:u w:val="single"/>
        </w:rPr>
        <w:t xml:space="preserve">                              </w:t>
      </w:r>
    </w:p>
    <w:p>
      <w:pPr>
        <w:pStyle w:val="37"/>
        <w:spacing w:line="440" w:lineRule="exact"/>
        <w:ind w:firstLine="840"/>
        <w:rPr>
          <w:rFonts w:hint="eastAsia" w:hAnsi="宋体"/>
          <w:color w:val="auto"/>
          <w:sz w:val="28"/>
          <w:szCs w:val="28"/>
          <w:highlight w:val="none"/>
          <w:u w:val="single"/>
        </w:rPr>
      </w:pPr>
      <w:r>
        <w:rPr>
          <w:rFonts w:hint="eastAsia" w:hAnsi="宋体"/>
          <w:color w:val="auto"/>
          <w:sz w:val="28"/>
          <w:szCs w:val="28"/>
          <w:highlight w:val="none"/>
        </w:rPr>
        <w:t>磋商供应商法定代表人（签章）：</w:t>
      </w:r>
      <w:r>
        <w:rPr>
          <w:rFonts w:hint="eastAsia" w:hAnsi="宋体"/>
          <w:color w:val="auto"/>
          <w:sz w:val="28"/>
          <w:szCs w:val="28"/>
          <w:highlight w:val="none"/>
          <w:u w:val="single"/>
        </w:rPr>
        <w:t xml:space="preserve">                 </w:t>
      </w:r>
    </w:p>
    <w:p>
      <w:pPr>
        <w:pStyle w:val="37"/>
        <w:spacing w:line="440" w:lineRule="exact"/>
        <w:ind w:firstLine="840"/>
        <w:rPr>
          <w:rFonts w:hint="eastAsia" w:hAnsi="宋体"/>
          <w:color w:val="auto"/>
          <w:sz w:val="28"/>
          <w:szCs w:val="28"/>
          <w:highlight w:val="none"/>
        </w:rPr>
      </w:pPr>
      <w:r>
        <w:rPr>
          <w:rFonts w:hint="eastAsia" w:hAnsi="宋体"/>
          <w:color w:val="auto"/>
          <w:sz w:val="28"/>
          <w:szCs w:val="28"/>
          <w:highlight w:val="none"/>
        </w:rPr>
        <w:t>日期：</w:t>
      </w:r>
      <w:r>
        <w:rPr>
          <w:rFonts w:hint="eastAsia" w:hAnsi="宋体"/>
          <w:color w:val="auto"/>
          <w:sz w:val="28"/>
          <w:szCs w:val="28"/>
          <w:highlight w:val="none"/>
          <w:u w:val="single"/>
        </w:rPr>
        <w:t xml:space="preserve">      </w:t>
      </w:r>
      <w:r>
        <w:rPr>
          <w:rFonts w:hint="eastAsia" w:hAnsi="宋体"/>
          <w:color w:val="auto"/>
          <w:sz w:val="28"/>
          <w:szCs w:val="28"/>
          <w:highlight w:val="none"/>
        </w:rPr>
        <w:t>年</w:t>
      </w:r>
      <w:r>
        <w:rPr>
          <w:rFonts w:hint="eastAsia" w:hAnsi="宋体"/>
          <w:color w:val="auto"/>
          <w:sz w:val="28"/>
          <w:szCs w:val="28"/>
          <w:highlight w:val="none"/>
          <w:u w:val="single"/>
        </w:rPr>
        <w:t xml:space="preserve">   </w:t>
      </w:r>
      <w:r>
        <w:rPr>
          <w:rFonts w:hint="eastAsia" w:hAnsi="宋体"/>
          <w:color w:val="auto"/>
          <w:sz w:val="28"/>
          <w:szCs w:val="28"/>
          <w:highlight w:val="none"/>
        </w:rPr>
        <w:t>月</w:t>
      </w:r>
      <w:r>
        <w:rPr>
          <w:rFonts w:hint="eastAsia" w:hAnsi="宋体"/>
          <w:color w:val="auto"/>
          <w:sz w:val="28"/>
          <w:szCs w:val="28"/>
          <w:highlight w:val="none"/>
          <w:u w:val="single"/>
        </w:rPr>
        <w:t xml:space="preserve">    </w:t>
      </w:r>
      <w:r>
        <w:rPr>
          <w:rFonts w:hint="eastAsia" w:hAnsi="宋体"/>
          <w:color w:val="auto"/>
          <w:sz w:val="28"/>
          <w:szCs w:val="28"/>
          <w:highlight w:val="none"/>
        </w:rPr>
        <w:t>日</w:t>
      </w:r>
    </w:p>
    <w:p>
      <w:pPr>
        <w:pStyle w:val="9"/>
        <w:kinsoku/>
        <w:wordWrap/>
        <w:overflowPunct/>
        <w:topLinePunct w:val="0"/>
        <w:bidi w:val="0"/>
        <w:spacing w:line="360" w:lineRule="auto"/>
        <w:rPr>
          <w:rFonts w:hint="eastAsia" w:ascii="宋体" w:hAnsi="宋体" w:eastAsia="宋体" w:cs="宋体"/>
          <w:b w:val="0"/>
          <w:bCs/>
          <w:color w:val="auto"/>
          <w:highlight w:val="none"/>
        </w:rPr>
      </w:pPr>
      <w:r>
        <w:rPr>
          <w:rFonts w:hint="eastAsia" w:ascii="宋体" w:hAnsi="宋体" w:eastAsia="宋体" w:cs="宋体"/>
          <w:color w:val="auto"/>
          <w:highlight w:val="none"/>
        </w:rPr>
        <w:br w:type="page"/>
      </w:r>
      <w:bookmarkStart w:id="151" w:name="_Toc67"/>
      <w:bookmarkStart w:id="152" w:name="_Toc15789"/>
      <w:bookmarkStart w:id="153" w:name="_Toc601"/>
      <w:r>
        <w:rPr>
          <w:rFonts w:hint="eastAsia" w:ascii="宋体" w:hAnsi="宋体" w:eastAsia="宋体" w:cs="宋体"/>
          <w:color w:val="auto"/>
          <w:sz w:val="24"/>
          <w:szCs w:val="24"/>
          <w:highlight w:val="none"/>
        </w:rPr>
        <w:t>附件二</w:t>
      </w:r>
      <w:bookmarkEnd w:id="151"/>
      <w:bookmarkEnd w:id="152"/>
      <w:bookmarkEnd w:id="153"/>
    </w:p>
    <w:p>
      <w:pPr>
        <w:kinsoku/>
        <w:wordWrap/>
        <w:overflowPunct/>
        <w:topLinePunct w:val="0"/>
        <w:bidi w:val="0"/>
        <w:spacing w:line="360" w:lineRule="auto"/>
        <w:ind w:firstLine="161" w:firstLineChars="50"/>
        <w:jc w:val="center"/>
        <w:rPr>
          <w:rStyle w:val="39"/>
          <w:rFonts w:hint="eastAsia" w:ascii="宋体" w:hAnsi="宋体" w:eastAsia="宋体" w:cs="宋体"/>
          <w:color w:val="auto"/>
          <w:highlight w:val="none"/>
          <w:lang w:eastAsia="zh-CN"/>
        </w:rPr>
      </w:pPr>
      <w:r>
        <w:rPr>
          <w:rStyle w:val="39"/>
          <w:rFonts w:hint="eastAsia" w:ascii="宋体" w:hAnsi="宋体" w:eastAsia="宋体" w:cs="宋体"/>
          <w:color w:val="auto"/>
          <w:highlight w:val="none"/>
        </w:rPr>
        <w:t>磋商报价</w:t>
      </w:r>
      <w:r>
        <w:rPr>
          <w:rStyle w:val="39"/>
          <w:rFonts w:hint="eastAsia" w:ascii="宋体" w:hAnsi="宋体" w:eastAsia="宋体" w:cs="宋体"/>
          <w:color w:val="auto"/>
          <w:highlight w:val="none"/>
          <w:lang w:eastAsia="zh-CN"/>
        </w:rPr>
        <w:t>表</w:t>
      </w:r>
    </w:p>
    <w:p>
      <w:pPr>
        <w:spacing w:line="500" w:lineRule="exact"/>
        <w:jc w:val="center"/>
        <w:rPr>
          <w:rFonts w:hint="eastAsia" w:ascii="宋体" w:hAnsi="宋体" w:cs="宋体"/>
          <w:color w:val="auto"/>
          <w:sz w:val="28"/>
          <w:highlight w:val="none"/>
        </w:rPr>
      </w:pPr>
    </w:p>
    <w:p>
      <w:pPr>
        <w:spacing w:line="500" w:lineRule="exact"/>
        <w:rPr>
          <w:rFonts w:hint="eastAsia" w:ascii="宋体" w:hAnsi="宋体" w:cs="宋体"/>
          <w:color w:val="auto"/>
          <w:sz w:val="28"/>
          <w:highlight w:val="none"/>
        </w:rPr>
      </w:pPr>
      <w:r>
        <w:rPr>
          <w:rFonts w:hint="eastAsia" w:ascii="宋体" w:hAnsi="宋体" w:cs="宋体"/>
          <w:color w:val="auto"/>
          <w:sz w:val="28"/>
          <w:highlight w:val="none"/>
        </w:rPr>
        <w:t>采购项目名称:</w:t>
      </w:r>
      <w:r>
        <w:rPr>
          <w:rFonts w:hint="eastAsia" w:ascii="宋体" w:hAnsi="宋体" w:cs="宋体"/>
          <w:color w:val="auto"/>
          <w:sz w:val="28"/>
          <w:highlight w:val="none"/>
          <w:u w:val="single"/>
        </w:rPr>
        <w:t xml:space="preserve">                 </w:t>
      </w:r>
      <w:r>
        <w:rPr>
          <w:rFonts w:hint="eastAsia" w:ascii="宋体" w:hAnsi="宋体" w:cs="宋体"/>
          <w:color w:val="auto"/>
          <w:sz w:val="28"/>
          <w:highlight w:val="none"/>
        </w:rPr>
        <w:t xml:space="preserve">                  </w:t>
      </w:r>
    </w:p>
    <w:tbl>
      <w:tblPr>
        <w:tblStyle w:val="17"/>
        <w:tblW w:w="9128" w:type="dxa"/>
        <w:tblInd w:w="108" w:type="dxa"/>
        <w:tblLayout w:type="fixed"/>
        <w:tblCellMar>
          <w:top w:w="0" w:type="dxa"/>
          <w:left w:w="108" w:type="dxa"/>
          <w:bottom w:w="0" w:type="dxa"/>
          <w:right w:w="108" w:type="dxa"/>
        </w:tblCellMar>
      </w:tblPr>
      <w:tblGrid>
        <w:gridCol w:w="4564"/>
        <w:gridCol w:w="4564"/>
      </w:tblGrid>
      <w:tr>
        <w:tblPrEx>
          <w:tblCellMar>
            <w:top w:w="0" w:type="dxa"/>
            <w:left w:w="108" w:type="dxa"/>
            <w:bottom w:w="0" w:type="dxa"/>
            <w:right w:w="108" w:type="dxa"/>
          </w:tblCellMar>
        </w:tblPrEx>
        <w:trPr>
          <w:trHeight w:val="832" w:hRule="atLeast"/>
        </w:trPr>
        <w:tc>
          <w:tcPr>
            <w:tcW w:w="4564"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500" w:lineRule="exact"/>
              <w:jc w:val="center"/>
              <w:rPr>
                <w:rFonts w:hint="eastAsia" w:ascii="宋体" w:hAnsi="宋体" w:cs="宋体"/>
                <w:color w:val="auto"/>
                <w:sz w:val="28"/>
                <w:highlight w:val="none"/>
              </w:rPr>
            </w:pPr>
            <w:r>
              <w:rPr>
                <w:rFonts w:hint="eastAsia" w:ascii="宋体" w:hAnsi="宋体" w:cs="宋体"/>
                <w:color w:val="auto"/>
                <w:sz w:val="28"/>
                <w:highlight w:val="none"/>
              </w:rPr>
              <w:t>总报价（元）</w:t>
            </w:r>
          </w:p>
        </w:tc>
        <w:tc>
          <w:tcPr>
            <w:tcW w:w="4564"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pPr>
              <w:spacing w:line="500" w:lineRule="exact"/>
              <w:rPr>
                <w:rFonts w:hint="eastAsia" w:ascii="宋体" w:hAnsi="宋体" w:cs="宋体"/>
                <w:color w:val="auto"/>
                <w:sz w:val="28"/>
                <w:highlight w:val="none"/>
              </w:rPr>
            </w:pPr>
            <w:r>
              <w:rPr>
                <w:rFonts w:hint="eastAsia" w:ascii="宋体" w:hAnsi="宋体" w:cs="宋体"/>
                <w:color w:val="auto"/>
                <w:sz w:val="28"/>
                <w:highlight w:val="none"/>
              </w:rPr>
              <w:t>大写：</w:t>
            </w:r>
          </w:p>
          <w:p>
            <w:pPr>
              <w:spacing w:line="500" w:lineRule="exact"/>
              <w:rPr>
                <w:rFonts w:hint="eastAsia" w:ascii="宋体" w:hAnsi="宋体" w:cs="宋体"/>
                <w:color w:val="auto"/>
                <w:sz w:val="28"/>
                <w:highlight w:val="none"/>
                <w:u w:val="single"/>
              </w:rPr>
            </w:pPr>
            <w:r>
              <w:rPr>
                <w:rFonts w:hint="eastAsia" w:ascii="宋体" w:hAnsi="宋体" w:cs="宋体"/>
                <w:color w:val="auto"/>
                <w:sz w:val="28"/>
                <w:highlight w:val="none"/>
              </w:rPr>
              <w:t>小写：</w:t>
            </w:r>
          </w:p>
        </w:tc>
      </w:tr>
      <w:tr>
        <w:tblPrEx>
          <w:tblCellMar>
            <w:top w:w="0" w:type="dxa"/>
            <w:left w:w="108" w:type="dxa"/>
            <w:bottom w:w="0" w:type="dxa"/>
            <w:right w:w="108" w:type="dxa"/>
          </w:tblCellMar>
        </w:tblPrEx>
        <w:trPr>
          <w:trHeight w:val="832" w:hRule="atLeast"/>
        </w:trPr>
        <w:tc>
          <w:tcPr>
            <w:tcW w:w="4564"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500" w:lineRule="exact"/>
              <w:jc w:val="center"/>
              <w:rPr>
                <w:rFonts w:hint="eastAsia" w:ascii="宋体" w:hAnsi="宋体" w:cs="宋体"/>
                <w:color w:val="auto"/>
                <w:sz w:val="28"/>
                <w:highlight w:val="none"/>
              </w:rPr>
            </w:pPr>
            <w:r>
              <w:rPr>
                <w:rFonts w:hint="eastAsia" w:ascii="宋体" w:hAnsi="宋体" w:cs="宋体"/>
                <w:color w:val="auto"/>
                <w:sz w:val="28"/>
                <w:highlight w:val="none"/>
              </w:rPr>
              <w:t>服务期限：</w:t>
            </w:r>
          </w:p>
        </w:tc>
        <w:tc>
          <w:tcPr>
            <w:tcW w:w="4564"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pPr>
              <w:spacing w:line="500" w:lineRule="exact"/>
              <w:rPr>
                <w:rFonts w:hint="eastAsia" w:ascii="宋体" w:hAnsi="宋体" w:cs="宋体"/>
                <w:color w:val="auto"/>
                <w:sz w:val="28"/>
                <w:highlight w:val="none"/>
                <w:u w:val="single"/>
              </w:rPr>
            </w:pPr>
          </w:p>
          <w:p>
            <w:pPr>
              <w:spacing w:line="500" w:lineRule="exact"/>
              <w:rPr>
                <w:rFonts w:hint="eastAsia" w:ascii="宋体" w:hAnsi="宋体" w:cs="宋体"/>
                <w:color w:val="auto"/>
                <w:sz w:val="28"/>
                <w:highlight w:val="none"/>
                <w:u w:val="single"/>
              </w:rPr>
            </w:pPr>
          </w:p>
        </w:tc>
      </w:tr>
      <w:tr>
        <w:tblPrEx>
          <w:tblCellMar>
            <w:top w:w="0" w:type="dxa"/>
            <w:left w:w="108" w:type="dxa"/>
            <w:bottom w:w="0" w:type="dxa"/>
            <w:right w:w="108" w:type="dxa"/>
          </w:tblCellMar>
        </w:tblPrEx>
        <w:trPr>
          <w:trHeight w:val="832" w:hRule="atLeast"/>
        </w:trPr>
        <w:tc>
          <w:tcPr>
            <w:tcW w:w="4564"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500" w:lineRule="exact"/>
              <w:jc w:val="center"/>
              <w:rPr>
                <w:rFonts w:hint="eastAsia" w:ascii="宋体" w:hAnsi="宋体" w:eastAsia="宋体" w:cs="宋体"/>
                <w:color w:val="auto"/>
                <w:sz w:val="28"/>
                <w:highlight w:val="none"/>
                <w:lang w:eastAsia="zh-CN"/>
              </w:rPr>
            </w:pPr>
            <w:r>
              <w:rPr>
                <w:rFonts w:hint="eastAsia" w:ascii="宋体" w:hAnsi="宋体" w:cs="宋体"/>
                <w:color w:val="auto"/>
                <w:sz w:val="28"/>
                <w:highlight w:val="none"/>
              </w:rPr>
              <w:t>项目</w:t>
            </w:r>
            <w:r>
              <w:rPr>
                <w:rFonts w:hint="eastAsia" w:ascii="宋体" w:hAnsi="宋体" w:cs="宋体"/>
                <w:color w:val="auto"/>
                <w:sz w:val="28"/>
                <w:highlight w:val="none"/>
                <w:lang w:val="en-US" w:eastAsia="zh-CN"/>
              </w:rPr>
              <w:t>总监</w:t>
            </w:r>
          </w:p>
        </w:tc>
        <w:tc>
          <w:tcPr>
            <w:tcW w:w="4564"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pPr>
              <w:spacing w:line="500" w:lineRule="exact"/>
              <w:rPr>
                <w:rFonts w:hint="eastAsia" w:ascii="宋体" w:hAnsi="宋体" w:cs="宋体"/>
                <w:color w:val="auto"/>
                <w:sz w:val="28"/>
                <w:highlight w:val="none"/>
                <w:u w:val="single"/>
              </w:rPr>
            </w:pPr>
          </w:p>
          <w:p>
            <w:pPr>
              <w:spacing w:line="500" w:lineRule="exact"/>
              <w:rPr>
                <w:rFonts w:hint="eastAsia" w:ascii="宋体" w:hAnsi="宋体" w:cs="宋体"/>
                <w:color w:val="auto"/>
                <w:sz w:val="28"/>
                <w:highlight w:val="none"/>
                <w:u w:val="single"/>
              </w:rPr>
            </w:pPr>
          </w:p>
        </w:tc>
      </w:tr>
      <w:tr>
        <w:tblPrEx>
          <w:tblCellMar>
            <w:top w:w="0" w:type="dxa"/>
            <w:left w:w="108" w:type="dxa"/>
            <w:bottom w:w="0" w:type="dxa"/>
            <w:right w:w="108" w:type="dxa"/>
          </w:tblCellMar>
        </w:tblPrEx>
        <w:trPr>
          <w:trHeight w:val="865" w:hRule="atLeast"/>
        </w:trPr>
        <w:tc>
          <w:tcPr>
            <w:tcW w:w="4564"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500" w:lineRule="exact"/>
              <w:jc w:val="center"/>
              <w:rPr>
                <w:rFonts w:hint="eastAsia" w:ascii="宋体" w:hAnsi="宋体" w:cs="宋体"/>
                <w:color w:val="auto"/>
                <w:sz w:val="28"/>
                <w:highlight w:val="none"/>
              </w:rPr>
            </w:pPr>
            <w:r>
              <w:rPr>
                <w:rFonts w:hint="eastAsia" w:ascii="宋体" w:hAnsi="宋体" w:cs="宋体"/>
                <w:color w:val="auto"/>
                <w:sz w:val="28"/>
                <w:highlight w:val="none"/>
              </w:rPr>
              <w:t>备注</w:t>
            </w:r>
          </w:p>
        </w:tc>
        <w:tc>
          <w:tcPr>
            <w:tcW w:w="4564"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pPr>
              <w:spacing w:line="500" w:lineRule="exact"/>
              <w:rPr>
                <w:rFonts w:hint="eastAsia" w:ascii="宋体" w:hAnsi="宋体" w:cs="宋体"/>
                <w:color w:val="auto"/>
                <w:sz w:val="28"/>
                <w:highlight w:val="none"/>
                <w:u w:val="single"/>
              </w:rPr>
            </w:pPr>
          </w:p>
          <w:p>
            <w:pPr>
              <w:spacing w:line="500" w:lineRule="exact"/>
              <w:rPr>
                <w:rFonts w:hint="eastAsia" w:ascii="宋体" w:hAnsi="宋体" w:cs="宋体"/>
                <w:color w:val="auto"/>
                <w:sz w:val="28"/>
                <w:highlight w:val="none"/>
                <w:u w:val="single"/>
              </w:rPr>
            </w:pPr>
          </w:p>
        </w:tc>
      </w:tr>
    </w:tbl>
    <w:p>
      <w:pPr>
        <w:spacing w:line="500" w:lineRule="exact"/>
        <w:jc w:val="left"/>
        <w:rPr>
          <w:rFonts w:hint="eastAsia" w:ascii="宋体" w:hAnsi="宋体" w:cs="宋体"/>
          <w:color w:val="auto"/>
          <w:sz w:val="20"/>
          <w:highlight w:val="none"/>
        </w:rPr>
      </w:pPr>
    </w:p>
    <w:p>
      <w:pPr>
        <w:spacing w:line="500" w:lineRule="exact"/>
        <w:rPr>
          <w:rFonts w:hint="eastAsia" w:ascii="宋体" w:hAnsi="宋体" w:cs="宋体"/>
          <w:color w:val="auto"/>
          <w:sz w:val="28"/>
          <w:highlight w:val="none"/>
          <w:u w:val="single"/>
        </w:rPr>
      </w:pPr>
    </w:p>
    <w:p>
      <w:pPr>
        <w:spacing w:line="500" w:lineRule="exact"/>
        <w:rPr>
          <w:rFonts w:hint="eastAsia" w:ascii="宋体" w:hAnsi="宋体" w:cs="宋体"/>
          <w:color w:val="auto"/>
          <w:sz w:val="28"/>
          <w:highlight w:val="none"/>
        </w:rPr>
      </w:pPr>
      <w:r>
        <w:rPr>
          <w:rFonts w:hint="eastAsia" w:ascii="宋体" w:hAnsi="宋体" w:cs="宋体"/>
          <w:color w:val="auto"/>
          <w:sz w:val="28"/>
          <w:highlight w:val="none"/>
        </w:rPr>
        <w:t>注：所有价格均用人民币表示，单位为元。</w:t>
      </w:r>
    </w:p>
    <w:p>
      <w:pPr>
        <w:spacing w:line="500" w:lineRule="exact"/>
        <w:rPr>
          <w:rFonts w:hint="eastAsia" w:ascii="宋体" w:hAnsi="宋体" w:cs="宋体"/>
          <w:color w:val="auto"/>
          <w:sz w:val="28"/>
          <w:highlight w:val="none"/>
        </w:rPr>
      </w:pPr>
    </w:p>
    <w:p>
      <w:pPr>
        <w:spacing w:line="500" w:lineRule="exact"/>
        <w:rPr>
          <w:rFonts w:hint="eastAsia" w:ascii="宋体" w:hAnsi="宋体" w:cs="宋体"/>
          <w:color w:val="auto"/>
          <w:sz w:val="28"/>
          <w:highlight w:val="none"/>
        </w:rPr>
      </w:pPr>
    </w:p>
    <w:p>
      <w:pPr>
        <w:spacing w:line="500" w:lineRule="exact"/>
        <w:rPr>
          <w:rFonts w:hint="eastAsia" w:ascii="宋体" w:hAnsi="宋体" w:cs="宋体"/>
          <w:color w:val="auto"/>
          <w:sz w:val="28"/>
          <w:highlight w:val="none"/>
        </w:rPr>
      </w:pPr>
    </w:p>
    <w:p>
      <w:pPr>
        <w:spacing w:line="276" w:lineRule="auto"/>
        <w:ind w:firstLine="840"/>
        <w:rPr>
          <w:rFonts w:hint="eastAsia" w:ascii="宋体" w:hAnsi="宋体" w:cs="宋体"/>
          <w:color w:val="auto"/>
          <w:sz w:val="28"/>
          <w:highlight w:val="none"/>
          <w:u w:val="single"/>
        </w:rPr>
      </w:pPr>
      <w:r>
        <w:rPr>
          <w:rFonts w:hint="eastAsia" w:ascii="宋体" w:hAnsi="宋体" w:cs="宋体"/>
          <w:color w:val="auto"/>
          <w:sz w:val="28"/>
          <w:highlight w:val="none"/>
        </w:rPr>
        <w:t>供应商名称（盖章）：</w:t>
      </w:r>
      <w:r>
        <w:rPr>
          <w:rFonts w:hint="eastAsia" w:ascii="宋体" w:hAnsi="宋体" w:cs="宋体"/>
          <w:color w:val="auto"/>
          <w:sz w:val="28"/>
          <w:highlight w:val="none"/>
          <w:u w:val="single"/>
        </w:rPr>
        <w:t xml:space="preserve">                              </w:t>
      </w:r>
    </w:p>
    <w:p>
      <w:pPr>
        <w:spacing w:line="276" w:lineRule="auto"/>
        <w:ind w:firstLine="840"/>
        <w:rPr>
          <w:rFonts w:hint="eastAsia" w:ascii="宋体" w:hAnsi="宋体" w:cs="宋体"/>
          <w:color w:val="auto"/>
          <w:sz w:val="28"/>
          <w:highlight w:val="none"/>
          <w:u w:val="single"/>
        </w:rPr>
      </w:pPr>
      <w:r>
        <w:rPr>
          <w:rFonts w:hint="eastAsia" w:ascii="宋体" w:hAnsi="宋体" w:cs="宋体"/>
          <w:color w:val="auto"/>
          <w:sz w:val="28"/>
          <w:highlight w:val="none"/>
        </w:rPr>
        <w:t>供应商法定代表人（签章或签字）：</w:t>
      </w:r>
      <w:r>
        <w:rPr>
          <w:rFonts w:hint="eastAsia" w:ascii="宋体" w:hAnsi="宋体" w:cs="宋体"/>
          <w:color w:val="auto"/>
          <w:sz w:val="28"/>
          <w:highlight w:val="none"/>
          <w:u w:val="single"/>
        </w:rPr>
        <w:t xml:space="preserve">                 </w:t>
      </w:r>
    </w:p>
    <w:p>
      <w:pPr>
        <w:spacing w:line="276" w:lineRule="auto"/>
        <w:ind w:firstLine="840"/>
        <w:rPr>
          <w:rFonts w:hint="eastAsia" w:ascii="宋体" w:hAnsi="宋体" w:cs="宋体"/>
          <w:color w:val="auto"/>
          <w:sz w:val="28"/>
          <w:highlight w:val="none"/>
          <w:u w:val="single"/>
        </w:rPr>
      </w:pPr>
      <w:r>
        <w:rPr>
          <w:rFonts w:hint="eastAsia" w:ascii="宋体" w:hAnsi="宋体" w:cs="宋体"/>
          <w:color w:val="auto"/>
          <w:sz w:val="28"/>
          <w:highlight w:val="none"/>
        </w:rPr>
        <w:t>日期：</w:t>
      </w:r>
      <w:r>
        <w:rPr>
          <w:rFonts w:hint="eastAsia" w:ascii="宋体" w:hAnsi="宋体" w:cs="宋体"/>
          <w:color w:val="auto"/>
          <w:sz w:val="28"/>
          <w:highlight w:val="none"/>
          <w:u w:val="single"/>
        </w:rPr>
        <w:t xml:space="preserve">      </w:t>
      </w:r>
      <w:r>
        <w:rPr>
          <w:rFonts w:hint="eastAsia" w:ascii="宋体" w:hAnsi="宋体" w:cs="宋体"/>
          <w:color w:val="auto"/>
          <w:sz w:val="28"/>
          <w:highlight w:val="none"/>
        </w:rPr>
        <w:t>年</w:t>
      </w:r>
      <w:r>
        <w:rPr>
          <w:rFonts w:hint="eastAsia" w:ascii="宋体" w:hAnsi="宋体" w:cs="宋体"/>
          <w:color w:val="auto"/>
          <w:sz w:val="28"/>
          <w:highlight w:val="none"/>
          <w:u w:val="single"/>
        </w:rPr>
        <w:t xml:space="preserve">   </w:t>
      </w:r>
      <w:r>
        <w:rPr>
          <w:rFonts w:hint="eastAsia" w:ascii="宋体" w:hAnsi="宋体" w:cs="宋体"/>
          <w:color w:val="auto"/>
          <w:sz w:val="28"/>
          <w:highlight w:val="none"/>
        </w:rPr>
        <w:t>月</w:t>
      </w:r>
      <w:r>
        <w:rPr>
          <w:rFonts w:hint="eastAsia" w:ascii="宋体" w:hAnsi="宋体" w:cs="宋体"/>
          <w:color w:val="auto"/>
          <w:sz w:val="28"/>
          <w:highlight w:val="none"/>
          <w:u w:val="single"/>
        </w:rPr>
        <w:t xml:space="preserve">    </w:t>
      </w:r>
      <w:r>
        <w:rPr>
          <w:rFonts w:hint="eastAsia" w:ascii="宋体" w:hAnsi="宋体" w:cs="宋体"/>
          <w:color w:val="auto"/>
          <w:sz w:val="28"/>
          <w:highlight w:val="none"/>
        </w:rPr>
        <w:t>日</w:t>
      </w:r>
    </w:p>
    <w:p>
      <w:pPr>
        <w:kinsoku/>
        <w:wordWrap/>
        <w:overflowPunct/>
        <w:topLinePunct w:val="0"/>
        <w:bidi w:val="0"/>
        <w:spacing w:line="360" w:lineRule="auto"/>
        <w:ind w:firstLine="474" w:firstLineChars="208"/>
        <w:rPr>
          <w:rFonts w:hint="eastAsia" w:ascii="宋体" w:hAnsi="宋体" w:eastAsia="宋体" w:cs="宋体"/>
          <w:color w:val="auto"/>
          <w:spacing w:val="-6"/>
          <w:szCs w:val="24"/>
          <w:highlight w:val="none"/>
        </w:rPr>
      </w:pPr>
    </w:p>
    <w:p>
      <w:pPr>
        <w:kinsoku/>
        <w:wordWrap/>
        <w:overflowPunct/>
        <w:topLinePunct w:val="0"/>
        <w:bidi w:val="0"/>
        <w:spacing w:line="360" w:lineRule="auto"/>
        <w:ind w:firstLine="474" w:firstLineChars="208"/>
        <w:rPr>
          <w:rFonts w:hint="eastAsia" w:ascii="宋体" w:hAnsi="宋体" w:eastAsia="宋体" w:cs="宋体"/>
          <w:color w:val="auto"/>
          <w:spacing w:val="-6"/>
          <w:szCs w:val="24"/>
          <w:highlight w:val="none"/>
        </w:rPr>
      </w:pPr>
    </w:p>
    <w:p>
      <w:pPr>
        <w:kinsoku/>
        <w:wordWrap/>
        <w:overflowPunct/>
        <w:topLinePunct w:val="0"/>
        <w:bidi w:val="0"/>
        <w:spacing w:line="360" w:lineRule="auto"/>
        <w:ind w:firstLine="474" w:firstLineChars="208"/>
        <w:rPr>
          <w:rFonts w:hint="eastAsia" w:ascii="宋体" w:hAnsi="宋体" w:eastAsia="宋体" w:cs="宋体"/>
          <w:color w:val="auto"/>
          <w:spacing w:val="-6"/>
          <w:szCs w:val="24"/>
          <w:highlight w:val="none"/>
        </w:rPr>
      </w:pPr>
    </w:p>
    <w:p>
      <w:pPr>
        <w:kinsoku/>
        <w:wordWrap/>
        <w:overflowPunct/>
        <w:topLinePunct w:val="0"/>
        <w:bidi w:val="0"/>
        <w:spacing w:line="360" w:lineRule="auto"/>
        <w:ind w:firstLine="474" w:firstLineChars="208"/>
        <w:rPr>
          <w:rFonts w:hint="eastAsia" w:ascii="宋体" w:hAnsi="宋体" w:eastAsia="宋体" w:cs="宋体"/>
          <w:color w:val="auto"/>
          <w:spacing w:val="-6"/>
          <w:szCs w:val="24"/>
          <w:highlight w:val="none"/>
        </w:rPr>
      </w:pPr>
    </w:p>
    <w:p>
      <w:pPr>
        <w:kinsoku/>
        <w:wordWrap/>
        <w:overflowPunct/>
        <w:topLinePunct w:val="0"/>
        <w:bidi w:val="0"/>
        <w:spacing w:line="360" w:lineRule="auto"/>
        <w:ind w:firstLine="456" w:firstLineChars="200"/>
        <w:rPr>
          <w:rFonts w:hint="eastAsia" w:ascii="宋体" w:hAnsi="宋体" w:eastAsia="宋体" w:cs="宋体"/>
          <w:color w:val="auto"/>
          <w:spacing w:val="-6"/>
          <w:szCs w:val="24"/>
          <w:highlight w:val="none"/>
        </w:rPr>
      </w:pPr>
    </w:p>
    <w:p>
      <w:pPr>
        <w:kinsoku/>
        <w:wordWrap/>
        <w:overflowPunct/>
        <w:topLinePunct w:val="0"/>
        <w:bidi w:val="0"/>
        <w:spacing w:line="360" w:lineRule="auto"/>
        <w:ind w:firstLine="456" w:firstLineChars="200"/>
        <w:rPr>
          <w:rFonts w:hint="eastAsia" w:ascii="宋体" w:hAnsi="宋体" w:eastAsia="宋体" w:cs="宋体"/>
          <w:color w:val="auto"/>
          <w:spacing w:val="-6"/>
          <w:szCs w:val="24"/>
          <w:highlight w:val="none"/>
        </w:rPr>
      </w:pPr>
    </w:p>
    <w:p>
      <w:pPr>
        <w:kinsoku/>
        <w:wordWrap/>
        <w:overflowPunct/>
        <w:topLinePunct w:val="0"/>
        <w:bidi w:val="0"/>
        <w:spacing w:line="360" w:lineRule="auto"/>
        <w:jc w:val="both"/>
        <w:rPr>
          <w:rFonts w:hint="eastAsia" w:ascii="宋体" w:hAnsi="宋体" w:eastAsia="宋体" w:cs="宋体"/>
          <w:color w:val="auto"/>
          <w:spacing w:val="-6"/>
          <w:sz w:val="28"/>
          <w:szCs w:val="28"/>
          <w:highlight w:val="none"/>
        </w:rPr>
      </w:pPr>
    </w:p>
    <w:p>
      <w:pPr>
        <w:kinsoku/>
        <w:wordWrap/>
        <w:overflowPunct/>
        <w:topLinePunct w:val="0"/>
        <w:bidi w:val="0"/>
        <w:spacing w:line="360" w:lineRule="auto"/>
        <w:jc w:val="both"/>
        <w:rPr>
          <w:rFonts w:hint="eastAsia" w:ascii="宋体" w:hAnsi="宋体" w:eastAsia="宋体" w:cs="宋体"/>
          <w:color w:val="auto"/>
          <w:spacing w:val="-6"/>
          <w:sz w:val="28"/>
          <w:szCs w:val="28"/>
          <w:highlight w:val="none"/>
        </w:rPr>
        <w:sectPr>
          <w:footerReference r:id="rId4" w:type="default"/>
          <w:pgSz w:w="11906" w:h="16838"/>
          <w:pgMar w:top="1440" w:right="1797" w:bottom="1440" w:left="1797" w:header="851" w:footer="992" w:gutter="0"/>
          <w:pgNumType w:fmt="decimal"/>
          <w:cols w:space="720" w:num="1"/>
          <w:rtlGutter w:val="0"/>
          <w:docGrid w:linePitch="312" w:charSpace="0"/>
        </w:sectPr>
      </w:pPr>
    </w:p>
    <w:p>
      <w:pPr>
        <w:jc w:val="left"/>
        <w:outlineLvl w:val="0"/>
        <w:rPr>
          <w:rFonts w:hint="eastAsia" w:ascii="宋体" w:hAnsi="宋体" w:cs="宋体"/>
          <w:b/>
          <w:color w:val="auto"/>
          <w:sz w:val="32"/>
          <w:highlight w:val="none"/>
          <w:u w:val="single"/>
        </w:rPr>
      </w:pPr>
      <w:bookmarkStart w:id="154" w:name="_Toc3490"/>
      <w:bookmarkStart w:id="155" w:name="_Toc1958"/>
      <w:bookmarkStart w:id="156" w:name="_Toc13146"/>
      <w:r>
        <w:rPr>
          <w:rFonts w:hint="eastAsia" w:ascii="宋体" w:hAnsi="宋体" w:cs="宋体"/>
          <w:b/>
          <w:color w:val="auto"/>
          <w:sz w:val="32"/>
          <w:highlight w:val="none"/>
        </w:rPr>
        <w:t>第</w:t>
      </w:r>
      <w:r>
        <w:rPr>
          <w:rFonts w:hint="eastAsia" w:ascii="宋体" w:hAnsi="宋体" w:cs="宋体"/>
          <w:b/>
          <w:color w:val="auto"/>
          <w:sz w:val="32"/>
          <w:highlight w:val="none"/>
          <w:u w:val="single"/>
        </w:rPr>
        <w:t xml:space="preserve">    </w:t>
      </w:r>
      <w:r>
        <w:rPr>
          <w:rFonts w:hint="eastAsia" w:ascii="宋体" w:hAnsi="宋体" w:cs="宋体"/>
          <w:b/>
          <w:color w:val="auto"/>
          <w:sz w:val="32"/>
          <w:highlight w:val="none"/>
        </w:rPr>
        <w:t>轮报价</w:t>
      </w:r>
      <w:bookmarkEnd w:id="154"/>
    </w:p>
    <w:p>
      <w:pPr>
        <w:spacing w:line="500" w:lineRule="exact"/>
        <w:jc w:val="center"/>
        <w:rPr>
          <w:rFonts w:hint="eastAsia" w:ascii="宋体" w:hAnsi="宋体" w:cs="宋体"/>
          <w:color w:val="auto"/>
          <w:sz w:val="28"/>
          <w:highlight w:val="none"/>
        </w:rPr>
      </w:pPr>
    </w:p>
    <w:p>
      <w:pPr>
        <w:spacing w:line="500" w:lineRule="exact"/>
        <w:rPr>
          <w:rFonts w:hint="eastAsia" w:ascii="宋体" w:hAnsi="宋体" w:cs="宋体"/>
          <w:color w:val="auto"/>
          <w:sz w:val="28"/>
          <w:highlight w:val="none"/>
        </w:rPr>
      </w:pPr>
      <w:r>
        <w:rPr>
          <w:rFonts w:hint="eastAsia" w:ascii="宋体" w:hAnsi="宋体" w:cs="宋体"/>
          <w:color w:val="auto"/>
          <w:sz w:val="28"/>
          <w:highlight w:val="none"/>
        </w:rPr>
        <w:t>采购项目名称:</w:t>
      </w:r>
      <w:r>
        <w:rPr>
          <w:rFonts w:hint="eastAsia" w:ascii="宋体" w:hAnsi="宋体" w:cs="宋体"/>
          <w:color w:val="auto"/>
          <w:sz w:val="28"/>
          <w:highlight w:val="none"/>
          <w:u w:val="single"/>
        </w:rPr>
        <w:t xml:space="preserve">                 </w:t>
      </w:r>
      <w:r>
        <w:rPr>
          <w:rFonts w:hint="eastAsia" w:ascii="宋体" w:hAnsi="宋体" w:cs="宋体"/>
          <w:color w:val="auto"/>
          <w:sz w:val="28"/>
          <w:highlight w:val="none"/>
        </w:rPr>
        <w:t xml:space="preserve">                  </w:t>
      </w:r>
    </w:p>
    <w:tbl>
      <w:tblPr>
        <w:tblStyle w:val="17"/>
        <w:tblW w:w="9128" w:type="dxa"/>
        <w:tblInd w:w="108" w:type="dxa"/>
        <w:tblLayout w:type="fixed"/>
        <w:tblCellMar>
          <w:top w:w="0" w:type="dxa"/>
          <w:left w:w="108" w:type="dxa"/>
          <w:bottom w:w="0" w:type="dxa"/>
          <w:right w:w="108" w:type="dxa"/>
        </w:tblCellMar>
      </w:tblPr>
      <w:tblGrid>
        <w:gridCol w:w="4564"/>
        <w:gridCol w:w="4564"/>
      </w:tblGrid>
      <w:tr>
        <w:tblPrEx>
          <w:tblCellMar>
            <w:top w:w="0" w:type="dxa"/>
            <w:left w:w="108" w:type="dxa"/>
            <w:bottom w:w="0" w:type="dxa"/>
            <w:right w:w="108" w:type="dxa"/>
          </w:tblCellMar>
        </w:tblPrEx>
        <w:trPr>
          <w:trHeight w:val="832" w:hRule="atLeast"/>
        </w:trPr>
        <w:tc>
          <w:tcPr>
            <w:tcW w:w="4564"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500" w:lineRule="exact"/>
              <w:jc w:val="center"/>
              <w:rPr>
                <w:rFonts w:hint="eastAsia" w:ascii="宋体" w:hAnsi="宋体" w:cs="宋体"/>
                <w:color w:val="auto"/>
                <w:sz w:val="28"/>
                <w:highlight w:val="none"/>
              </w:rPr>
            </w:pPr>
            <w:r>
              <w:rPr>
                <w:rFonts w:hint="eastAsia" w:ascii="宋体" w:hAnsi="宋体" w:cs="宋体"/>
                <w:color w:val="auto"/>
                <w:sz w:val="28"/>
                <w:highlight w:val="none"/>
              </w:rPr>
              <w:t>磋商总价（元）</w:t>
            </w:r>
          </w:p>
        </w:tc>
        <w:tc>
          <w:tcPr>
            <w:tcW w:w="4564"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pPr>
              <w:spacing w:line="500" w:lineRule="exact"/>
              <w:rPr>
                <w:rFonts w:hint="eastAsia" w:ascii="宋体" w:hAnsi="宋体" w:cs="宋体"/>
                <w:color w:val="auto"/>
                <w:sz w:val="28"/>
                <w:highlight w:val="none"/>
                <w:u w:val="single"/>
              </w:rPr>
            </w:pPr>
            <w:r>
              <w:rPr>
                <w:rFonts w:hint="eastAsia" w:ascii="宋体" w:hAnsi="宋体" w:cs="宋体"/>
                <w:color w:val="auto"/>
                <w:sz w:val="28"/>
                <w:highlight w:val="none"/>
                <w:u w:val="single"/>
              </w:rPr>
              <w:t>大写：</w:t>
            </w:r>
          </w:p>
          <w:p>
            <w:pPr>
              <w:spacing w:line="500" w:lineRule="exact"/>
              <w:rPr>
                <w:rFonts w:hint="eastAsia" w:ascii="宋体" w:hAnsi="宋体" w:cs="宋体"/>
                <w:color w:val="auto"/>
                <w:sz w:val="28"/>
                <w:highlight w:val="none"/>
                <w:u w:val="single"/>
              </w:rPr>
            </w:pPr>
            <w:r>
              <w:rPr>
                <w:rFonts w:hint="eastAsia" w:ascii="宋体" w:hAnsi="宋体" w:cs="宋体"/>
                <w:color w:val="auto"/>
                <w:sz w:val="28"/>
                <w:highlight w:val="none"/>
                <w:u w:val="single"/>
              </w:rPr>
              <w:t>小写：</w:t>
            </w:r>
          </w:p>
        </w:tc>
      </w:tr>
      <w:tr>
        <w:tblPrEx>
          <w:tblCellMar>
            <w:top w:w="0" w:type="dxa"/>
            <w:left w:w="108" w:type="dxa"/>
            <w:bottom w:w="0" w:type="dxa"/>
            <w:right w:w="108" w:type="dxa"/>
          </w:tblCellMar>
        </w:tblPrEx>
        <w:trPr>
          <w:trHeight w:val="832" w:hRule="atLeast"/>
        </w:trPr>
        <w:tc>
          <w:tcPr>
            <w:tcW w:w="4564"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500" w:lineRule="exact"/>
              <w:jc w:val="center"/>
              <w:rPr>
                <w:rFonts w:hint="eastAsia" w:ascii="宋体" w:hAnsi="宋体" w:cs="宋体"/>
                <w:color w:val="auto"/>
                <w:sz w:val="28"/>
                <w:highlight w:val="none"/>
              </w:rPr>
            </w:pPr>
            <w:r>
              <w:rPr>
                <w:rFonts w:hint="eastAsia" w:ascii="宋体" w:hAnsi="宋体" w:cs="宋体"/>
                <w:color w:val="auto"/>
                <w:sz w:val="28"/>
                <w:highlight w:val="none"/>
              </w:rPr>
              <w:t>服务期限：</w:t>
            </w:r>
          </w:p>
        </w:tc>
        <w:tc>
          <w:tcPr>
            <w:tcW w:w="4564"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pPr>
              <w:spacing w:line="500" w:lineRule="exact"/>
              <w:rPr>
                <w:rFonts w:hint="eastAsia" w:ascii="宋体" w:hAnsi="宋体" w:cs="宋体"/>
                <w:color w:val="auto"/>
                <w:sz w:val="28"/>
                <w:highlight w:val="none"/>
                <w:u w:val="single"/>
              </w:rPr>
            </w:pPr>
          </w:p>
          <w:p>
            <w:pPr>
              <w:spacing w:line="500" w:lineRule="exact"/>
              <w:rPr>
                <w:rFonts w:hint="eastAsia" w:ascii="宋体" w:hAnsi="宋体" w:cs="宋体"/>
                <w:color w:val="auto"/>
                <w:sz w:val="28"/>
                <w:highlight w:val="none"/>
                <w:u w:val="single"/>
              </w:rPr>
            </w:pPr>
          </w:p>
        </w:tc>
      </w:tr>
      <w:tr>
        <w:tblPrEx>
          <w:tblCellMar>
            <w:top w:w="0" w:type="dxa"/>
            <w:left w:w="108" w:type="dxa"/>
            <w:bottom w:w="0" w:type="dxa"/>
            <w:right w:w="108" w:type="dxa"/>
          </w:tblCellMar>
        </w:tblPrEx>
        <w:trPr>
          <w:trHeight w:val="832" w:hRule="atLeast"/>
        </w:trPr>
        <w:tc>
          <w:tcPr>
            <w:tcW w:w="4564"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500" w:lineRule="exact"/>
              <w:jc w:val="center"/>
              <w:rPr>
                <w:rFonts w:hint="eastAsia" w:ascii="宋体" w:hAnsi="宋体" w:cs="宋体"/>
                <w:color w:val="auto"/>
                <w:sz w:val="28"/>
                <w:highlight w:val="none"/>
              </w:rPr>
            </w:pPr>
            <w:r>
              <w:rPr>
                <w:rFonts w:hint="eastAsia" w:ascii="宋体" w:hAnsi="宋体" w:cs="宋体"/>
                <w:color w:val="auto"/>
                <w:sz w:val="28"/>
                <w:highlight w:val="none"/>
              </w:rPr>
              <w:t>项目</w:t>
            </w:r>
            <w:r>
              <w:rPr>
                <w:rFonts w:hint="eastAsia" w:ascii="宋体" w:hAnsi="宋体" w:cs="宋体"/>
                <w:color w:val="auto"/>
                <w:sz w:val="28"/>
                <w:highlight w:val="none"/>
                <w:lang w:val="en-US" w:eastAsia="zh-CN"/>
              </w:rPr>
              <w:t>总监</w:t>
            </w:r>
          </w:p>
        </w:tc>
        <w:tc>
          <w:tcPr>
            <w:tcW w:w="4564"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pPr>
              <w:spacing w:line="500" w:lineRule="exact"/>
              <w:rPr>
                <w:rFonts w:hint="eastAsia" w:ascii="宋体" w:hAnsi="宋体" w:cs="宋体"/>
                <w:color w:val="auto"/>
                <w:sz w:val="28"/>
                <w:highlight w:val="none"/>
                <w:u w:val="single"/>
              </w:rPr>
            </w:pPr>
          </w:p>
          <w:p>
            <w:pPr>
              <w:spacing w:line="500" w:lineRule="exact"/>
              <w:rPr>
                <w:rFonts w:hint="eastAsia" w:ascii="宋体" w:hAnsi="宋体" w:cs="宋体"/>
                <w:color w:val="auto"/>
                <w:sz w:val="28"/>
                <w:highlight w:val="none"/>
                <w:u w:val="single"/>
              </w:rPr>
            </w:pPr>
          </w:p>
        </w:tc>
      </w:tr>
      <w:tr>
        <w:tblPrEx>
          <w:tblCellMar>
            <w:top w:w="0" w:type="dxa"/>
            <w:left w:w="108" w:type="dxa"/>
            <w:bottom w:w="0" w:type="dxa"/>
            <w:right w:w="108" w:type="dxa"/>
          </w:tblCellMar>
        </w:tblPrEx>
        <w:trPr>
          <w:trHeight w:val="865" w:hRule="atLeast"/>
        </w:trPr>
        <w:tc>
          <w:tcPr>
            <w:tcW w:w="4564"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500" w:lineRule="exact"/>
              <w:jc w:val="center"/>
              <w:rPr>
                <w:rFonts w:hint="eastAsia" w:ascii="宋体" w:hAnsi="宋体" w:cs="宋体"/>
                <w:color w:val="auto"/>
                <w:sz w:val="28"/>
                <w:highlight w:val="none"/>
              </w:rPr>
            </w:pPr>
            <w:r>
              <w:rPr>
                <w:rFonts w:hint="eastAsia" w:ascii="宋体" w:hAnsi="宋体" w:cs="宋体"/>
                <w:color w:val="auto"/>
                <w:sz w:val="28"/>
                <w:highlight w:val="none"/>
              </w:rPr>
              <w:t>备注</w:t>
            </w:r>
          </w:p>
        </w:tc>
        <w:tc>
          <w:tcPr>
            <w:tcW w:w="4564"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pPr>
              <w:spacing w:line="500" w:lineRule="exact"/>
              <w:rPr>
                <w:rFonts w:hint="eastAsia" w:ascii="宋体" w:hAnsi="宋体" w:cs="宋体"/>
                <w:color w:val="auto"/>
                <w:sz w:val="28"/>
                <w:highlight w:val="none"/>
                <w:u w:val="single"/>
              </w:rPr>
            </w:pPr>
          </w:p>
          <w:p>
            <w:pPr>
              <w:spacing w:line="500" w:lineRule="exact"/>
              <w:rPr>
                <w:rFonts w:hint="eastAsia" w:ascii="宋体" w:hAnsi="宋体" w:cs="宋体"/>
                <w:color w:val="auto"/>
                <w:sz w:val="28"/>
                <w:highlight w:val="none"/>
                <w:u w:val="single"/>
              </w:rPr>
            </w:pPr>
          </w:p>
        </w:tc>
      </w:tr>
    </w:tbl>
    <w:p>
      <w:pPr>
        <w:spacing w:line="500" w:lineRule="exact"/>
        <w:jc w:val="left"/>
        <w:rPr>
          <w:rFonts w:hint="eastAsia" w:ascii="宋体" w:hAnsi="宋体" w:cs="宋体"/>
          <w:color w:val="auto"/>
          <w:sz w:val="20"/>
          <w:highlight w:val="none"/>
        </w:rPr>
      </w:pPr>
    </w:p>
    <w:p>
      <w:pPr>
        <w:spacing w:line="500" w:lineRule="exact"/>
        <w:rPr>
          <w:rFonts w:hint="eastAsia" w:ascii="宋体" w:hAnsi="宋体" w:cs="宋体"/>
          <w:color w:val="auto"/>
          <w:sz w:val="28"/>
          <w:highlight w:val="none"/>
          <w:u w:val="single"/>
        </w:rPr>
      </w:pPr>
    </w:p>
    <w:p>
      <w:pPr>
        <w:spacing w:line="500" w:lineRule="exact"/>
        <w:rPr>
          <w:rFonts w:hint="eastAsia" w:ascii="宋体" w:hAnsi="宋体" w:cs="宋体"/>
          <w:color w:val="auto"/>
          <w:sz w:val="28"/>
          <w:highlight w:val="none"/>
        </w:rPr>
      </w:pPr>
      <w:r>
        <w:rPr>
          <w:rFonts w:hint="eastAsia" w:ascii="宋体" w:hAnsi="宋体" w:cs="宋体"/>
          <w:color w:val="auto"/>
          <w:sz w:val="28"/>
          <w:highlight w:val="none"/>
        </w:rPr>
        <w:t>注：所有价格均用人民币表示，单位为元。</w:t>
      </w:r>
    </w:p>
    <w:p>
      <w:pPr>
        <w:spacing w:line="500" w:lineRule="exact"/>
        <w:rPr>
          <w:rFonts w:hint="eastAsia" w:ascii="宋体" w:hAnsi="宋体" w:cs="宋体"/>
          <w:color w:val="auto"/>
          <w:sz w:val="28"/>
          <w:highlight w:val="none"/>
        </w:rPr>
      </w:pPr>
    </w:p>
    <w:p>
      <w:pPr>
        <w:spacing w:line="500" w:lineRule="exact"/>
        <w:rPr>
          <w:rFonts w:hint="eastAsia" w:ascii="宋体" w:hAnsi="宋体" w:cs="宋体"/>
          <w:color w:val="auto"/>
          <w:sz w:val="28"/>
          <w:highlight w:val="none"/>
        </w:rPr>
      </w:pPr>
    </w:p>
    <w:p>
      <w:pPr>
        <w:spacing w:line="500" w:lineRule="exact"/>
        <w:rPr>
          <w:rFonts w:hint="eastAsia" w:ascii="宋体" w:hAnsi="宋体" w:cs="宋体"/>
          <w:color w:val="auto"/>
          <w:sz w:val="28"/>
          <w:highlight w:val="none"/>
        </w:rPr>
      </w:pPr>
    </w:p>
    <w:p>
      <w:pPr>
        <w:spacing w:line="276" w:lineRule="auto"/>
        <w:ind w:firstLine="840"/>
        <w:rPr>
          <w:rFonts w:hint="eastAsia" w:ascii="宋体" w:hAnsi="宋体" w:cs="宋体"/>
          <w:color w:val="auto"/>
          <w:sz w:val="28"/>
          <w:highlight w:val="none"/>
          <w:u w:val="single"/>
        </w:rPr>
      </w:pPr>
      <w:r>
        <w:rPr>
          <w:rFonts w:hint="eastAsia" w:ascii="宋体" w:hAnsi="宋体" w:cs="宋体"/>
          <w:color w:val="auto"/>
          <w:sz w:val="28"/>
          <w:highlight w:val="none"/>
        </w:rPr>
        <w:t>供应商名称（盖章）：</w:t>
      </w:r>
      <w:r>
        <w:rPr>
          <w:rFonts w:hint="eastAsia" w:ascii="宋体" w:hAnsi="宋体" w:cs="宋体"/>
          <w:color w:val="auto"/>
          <w:sz w:val="28"/>
          <w:highlight w:val="none"/>
          <w:u w:val="single"/>
        </w:rPr>
        <w:t xml:space="preserve">                              </w:t>
      </w:r>
    </w:p>
    <w:p>
      <w:pPr>
        <w:spacing w:line="276" w:lineRule="auto"/>
        <w:ind w:firstLine="840"/>
        <w:rPr>
          <w:rFonts w:hint="eastAsia" w:ascii="宋体" w:hAnsi="宋体" w:cs="宋体"/>
          <w:color w:val="auto"/>
          <w:sz w:val="28"/>
          <w:highlight w:val="none"/>
          <w:u w:val="single"/>
        </w:rPr>
      </w:pPr>
      <w:r>
        <w:rPr>
          <w:rFonts w:hint="eastAsia" w:ascii="宋体" w:hAnsi="宋体" w:cs="宋体"/>
          <w:color w:val="auto"/>
          <w:sz w:val="28"/>
          <w:highlight w:val="none"/>
        </w:rPr>
        <w:t>供应商法定代表人（签章或签字）：</w:t>
      </w:r>
      <w:r>
        <w:rPr>
          <w:rFonts w:hint="eastAsia" w:ascii="宋体" w:hAnsi="宋体" w:cs="宋体"/>
          <w:color w:val="auto"/>
          <w:sz w:val="28"/>
          <w:highlight w:val="none"/>
          <w:u w:val="single"/>
        </w:rPr>
        <w:t xml:space="preserve">                 </w:t>
      </w:r>
    </w:p>
    <w:p>
      <w:pPr>
        <w:pStyle w:val="38"/>
        <w:spacing w:line="500" w:lineRule="exact"/>
        <w:ind w:firstLine="840" w:firstLineChars="300"/>
        <w:rPr>
          <w:rFonts w:hint="eastAsia" w:ascii="宋体" w:hAnsi="宋体"/>
          <w:b/>
          <w:color w:val="auto"/>
          <w:sz w:val="24"/>
          <w:szCs w:val="24"/>
          <w:highlight w:val="none"/>
        </w:rPr>
      </w:pPr>
      <w:r>
        <w:rPr>
          <w:rFonts w:hint="eastAsia" w:ascii="宋体" w:hAnsi="宋体" w:cs="宋体"/>
          <w:color w:val="auto"/>
          <w:sz w:val="28"/>
          <w:highlight w:val="none"/>
        </w:rPr>
        <w:t>日期：</w:t>
      </w:r>
      <w:r>
        <w:rPr>
          <w:rFonts w:hint="eastAsia" w:ascii="宋体" w:hAnsi="宋体" w:cs="宋体"/>
          <w:color w:val="auto"/>
          <w:sz w:val="28"/>
          <w:highlight w:val="none"/>
          <w:u w:val="single"/>
        </w:rPr>
        <w:t xml:space="preserve">      </w:t>
      </w:r>
      <w:r>
        <w:rPr>
          <w:rFonts w:hint="eastAsia" w:ascii="宋体" w:hAnsi="宋体" w:cs="宋体"/>
          <w:color w:val="auto"/>
          <w:sz w:val="28"/>
          <w:highlight w:val="none"/>
        </w:rPr>
        <w:t>年</w:t>
      </w:r>
      <w:r>
        <w:rPr>
          <w:rFonts w:hint="eastAsia" w:ascii="宋体" w:hAnsi="宋体" w:cs="宋体"/>
          <w:color w:val="auto"/>
          <w:sz w:val="28"/>
          <w:highlight w:val="none"/>
          <w:u w:val="single"/>
        </w:rPr>
        <w:t xml:space="preserve">   </w:t>
      </w:r>
      <w:r>
        <w:rPr>
          <w:rFonts w:hint="eastAsia" w:ascii="宋体" w:hAnsi="宋体" w:cs="宋体"/>
          <w:color w:val="auto"/>
          <w:sz w:val="28"/>
          <w:highlight w:val="none"/>
        </w:rPr>
        <w:t>月</w:t>
      </w:r>
      <w:r>
        <w:rPr>
          <w:rFonts w:hint="eastAsia" w:ascii="宋体" w:hAnsi="宋体" w:cs="宋体"/>
          <w:color w:val="auto"/>
          <w:sz w:val="28"/>
          <w:highlight w:val="none"/>
          <w:u w:val="single"/>
        </w:rPr>
        <w:t xml:space="preserve">    </w:t>
      </w:r>
      <w:r>
        <w:rPr>
          <w:rFonts w:hint="eastAsia" w:ascii="宋体" w:hAnsi="宋体" w:cs="宋体"/>
          <w:color w:val="auto"/>
          <w:sz w:val="28"/>
          <w:highlight w:val="none"/>
        </w:rPr>
        <w:t>日</w:t>
      </w:r>
    </w:p>
    <w:p>
      <w:pPr>
        <w:pStyle w:val="38"/>
        <w:spacing w:line="500" w:lineRule="exact"/>
        <w:rPr>
          <w:rFonts w:hint="eastAsia" w:ascii="宋体" w:hAnsi="宋体"/>
          <w:b/>
          <w:color w:val="auto"/>
          <w:sz w:val="24"/>
          <w:szCs w:val="24"/>
          <w:highlight w:val="none"/>
        </w:rPr>
        <w:sectPr>
          <w:pgSz w:w="11906" w:h="16838"/>
          <w:pgMar w:top="1440" w:right="1797" w:bottom="1440" w:left="1797" w:header="851" w:footer="992" w:gutter="0"/>
          <w:cols w:space="720" w:num="1"/>
          <w:docGrid w:linePitch="312" w:charSpace="0"/>
        </w:sectPr>
      </w:pPr>
      <w:r>
        <w:rPr>
          <w:rFonts w:hint="eastAsia" w:ascii="宋体" w:hAnsi="宋体"/>
          <w:b/>
          <w:color w:val="auto"/>
          <w:sz w:val="24"/>
          <w:szCs w:val="24"/>
          <w:highlight w:val="none"/>
        </w:rPr>
        <w:t>备注：本表由供应商加盖公章后装订在响应文件正本和副本中，不填数据，只签章，由磋商供应商在评审现场填写最终总投标报价。</w:t>
      </w:r>
    </w:p>
    <w:p>
      <w:pPr>
        <w:pStyle w:val="9"/>
        <w:kinsoku/>
        <w:wordWrap/>
        <w:overflowPunct/>
        <w:topLinePunct w:val="0"/>
        <w:bidi w:val="0"/>
        <w:spacing w:line="360" w:lineRule="auto"/>
        <w:rPr>
          <w:rFonts w:hint="eastAsia" w:ascii="宋体" w:hAnsi="宋体" w:eastAsia="宋体" w:cs="宋体"/>
          <w:b w:val="0"/>
          <w:color w:val="auto"/>
          <w:highlight w:val="none"/>
        </w:rPr>
      </w:pPr>
      <w:bookmarkStart w:id="157" w:name="_Toc30246"/>
      <w:r>
        <w:rPr>
          <w:rFonts w:hint="eastAsia" w:ascii="宋体" w:hAnsi="宋体" w:eastAsia="宋体" w:cs="宋体"/>
          <w:color w:val="auto"/>
          <w:sz w:val="24"/>
          <w:szCs w:val="24"/>
          <w:highlight w:val="none"/>
        </w:rPr>
        <w:t>附件三</w:t>
      </w:r>
      <w:bookmarkEnd w:id="155"/>
      <w:bookmarkEnd w:id="156"/>
      <w:bookmarkEnd w:id="157"/>
    </w:p>
    <w:p>
      <w:pPr>
        <w:kinsoku/>
        <w:wordWrap/>
        <w:overflowPunct/>
        <w:topLinePunct w:val="0"/>
        <w:bidi w:val="0"/>
        <w:snapToGrid w:val="0"/>
        <w:spacing w:line="360" w:lineRule="auto"/>
        <w:jc w:val="center"/>
        <w:rPr>
          <w:rFonts w:hint="eastAsia" w:ascii="宋体" w:hAnsi="宋体" w:eastAsia="宋体" w:cs="宋体"/>
          <w:b/>
          <w:color w:val="auto"/>
          <w:sz w:val="32"/>
          <w:szCs w:val="32"/>
          <w:highlight w:val="none"/>
        </w:rPr>
      </w:pPr>
      <w:bookmarkStart w:id="158" w:name="_Toc120614284"/>
      <w:r>
        <w:rPr>
          <w:rFonts w:hint="eastAsia" w:ascii="宋体" w:hAnsi="宋体" w:eastAsia="宋体" w:cs="宋体"/>
          <w:b/>
          <w:color w:val="auto"/>
          <w:sz w:val="32"/>
          <w:szCs w:val="32"/>
          <w:highlight w:val="none"/>
        </w:rPr>
        <w:t xml:space="preserve">法定代表人资格证明文件 </w:t>
      </w:r>
    </w:p>
    <w:p>
      <w:pPr>
        <w:kinsoku/>
        <w:wordWrap/>
        <w:overflowPunct/>
        <w:topLinePunct w:val="0"/>
        <w:bidi w:val="0"/>
        <w:snapToGrid w:val="0"/>
        <w:spacing w:line="360" w:lineRule="auto"/>
        <w:ind w:firstLine="480" w:firstLineChars="200"/>
        <w:rPr>
          <w:rFonts w:hint="eastAsia" w:ascii="宋体" w:hAnsi="宋体" w:eastAsia="宋体" w:cs="宋体"/>
          <w:color w:val="auto"/>
          <w:szCs w:val="24"/>
          <w:highlight w:val="none"/>
          <w:u w:val="single"/>
          <w:lang w:eastAsia="zh-CN"/>
        </w:rPr>
      </w:pPr>
      <w:r>
        <w:rPr>
          <w:rFonts w:hint="eastAsia" w:ascii="宋体" w:hAnsi="宋体" w:eastAsia="宋体" w:cs="宋体"/>
          <w:color w:val="auto"/>
          <w:szCs w:val="24"/>
          <w:highlight w:val="none"/>
          <w:u w:val="single"/>
          <w:lang w:eastAsia="zh-CN"/>
        </w:rPr>
        <w:t>（代理机构名称）：</w:t>
      </w:r>
    </w:p>
    <w:p>
      <w:pPr>
        <w:kinsoku/>
        <w:wordWrap/>
        <w:overflowPunct/>
        <w:topLinePunct w:val="0"/>
        <w:bidi w:val="0"/>
        <w:snapToGrid w:val="0"/>
        <w:spacing w:line="360" w:lineRule="auto"/>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兹有</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Cs w:val="24"/>
          <w:highlight w:val="none"/>
        </w:rPr>
        <w:t>同志为</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Cs w:val="24"/>
          <w:highlight w:val="none"/>
        </w:rPr>
        <w:t xml:space="preserve">公司法定代表人，代表我公司办理一切社会公务事宜，具有法律效力。 </w:t>
      </w:r>
    </w:p>
    <w:p>
      <w:pPr>
        <w:kinsoku/>
        <w:wordWrap/>
        <w:overflowPunct/>
        <w:topLinePunct w:val="0"/>
        <w:bidi w:val="0"/>
        <w:snapToGrid w:val="0"/>
        <w:spacing w:line="360" w:lineRule="auto"/>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附法定代表人基本情况： </w:t>
      </w:r>
    </w:p>
    <w:p>
      <w:pPr>
        <w:kinsoku/>
        <w:wordWrap/>
        <w:overflowPunct/>
        <w:topLinePunct w:val="0"/>
        <w:bidi w:val="0"/>
        <w:snapToGrid w:val="0"/>
        <w:spacing w:line="360" w:lineRule="auto"/>
        <w:ind w:firstLine="480" w:firstLineChars="200"/>
        <w:rPr>
          <w:rFonts w:hint="eastAsia" w:ascii="宋体" w:hAnsi="宋体" w:eastAsia="宋体" w:cs="宋体"/>
          <w:color w:val="auto"/>
          <w:szCs w:val="24"/>
          <w:highlight w:val="none"/>
          <w:u w:val="single"/>
        </w:rPr>
      </w:pPr>
      <w:r>
        <w:rPr>
          <w:rFonts w:hint="eastAsia" w:ascii="宋体" w:hAnsi="宋体" w:eastAsia="宋体" w:cs="宋体"/>
          <w:color w:val="auto"/>
          <w:szCs w:val="24"/>
          <w:highlight w:val="none"/>
        </w:rPr>
        <w:t>姓名：</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Cs w:val="24"/>
          <w:highlight w:val="none"/>
        </w:rPr>
        <w:t xml:space="preserve"> 性别：</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Cs w:val="24"/>
          <w:highlight w:val="none"/>
        </w:rPr>
        <w:t xml:space="preserve"> 年龄：</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Cs w:val="24"/>
          <w:highlight w:val="none"/>
        </w:rPr>
        <w:t xml:space="preserve"> 职务：</w:t>
      </w:r>
      <w:r>
        <w:rPr>
          <w:rFonts w:hint="eastAsia" w:ascii="宋体" w:hAnsi="宋体" w:eastAsia="宋体" w:cs="宋体"/>
          <w:color w:val="auto"/>
          <w:szCs w:val="24"/>
          <w:highlight w:val="none"/>
          <w:u w:val="single"/>
        </w:rPr>
        <w:t xml:space="preserve">         </w:t>
      </w:r>
    </w:p>
    <w:p>
      <w:pPr>
        <w:kinsoku/>
        <w:wordWrap/>
        <w:overflowPunct/>
        <w:topLinePunct w:val="0"/>
        <w:bidi w:val="0"/>
        <w:snapToGrid w:val="0"/>
        <w:spacing w:line="360" w:lineRule="auto"/>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身份证号码：</w:t>
      </w:r>
      <w:r>
        <w:rPr>
          <w:rFonts w:hint="eastAsia" w:ascii="宋体" w:hAnsi="宋体" w:eastAsia="宋体" w:cs="宋体"/>
          <w:color w:val="auto"/>
          <w:szCs w:val="24"/>
          <w:highlight w:val="none"/>
          <w:u w:val="single"/>
        </w:rPr>
        <w:t xml:space="preserve">                     </w:t>
      </w:r>
    </w:p>
    <w:p>
      <w:pPr>
        <w:kinsoku/>
        <w:wordWrap/>
        <w:overflowPunct/>
        <w:topLinePunct w:val="0"/>
        <w:bidi w:val="0"/>
        <w:snapToGrid w:val="0"/>
        <w:spacing w:line="360" w:lineRule="auto"/>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通讯地址：</w:t>
      </w:r>
      <w:r>
        <w:rPr>
          <w:rFonts w:hint="eastAsia" w:ascii="宋体" w:hAnsi="宋体" w:eastAsia="宋体" w:cs="宋体"/>
          <w:color w:val="auto"/>
          <w:szCs w:val="24"/>
          <w:highlight w:val="none"/>
          <w:u w:val="single"/>
        </w:rPr>
        <w:t xml:space="preserve">                       </w:t>
      </w:r>
    </w:p>
    <w:p>
      <w:pPr>
        <w:kinsoku/>
        <w:wordWrap/>
        <w:overflowPunct/>
        <w:topLinePunct w:val="0"/>
        <w:bidi w:val="0"/>
        <w:snapToGrid w:val="0"/>
        <w:spacing w:line="360" w:lineRule="auto"/>
        <w:ind w:firstLine="480" w:firstLineChars="200"/>
        <w:rPr>
          <w:rFonts w:hint="eastAsia" w:ascii="宋体" w:hAnsi="宋体" w:eastAsia="宋体" w:cs="宋体"/>
          <w:color w:val="auto"/>
          <w:sz w:val="28"/>
          <w:szCs w:val="28"/>
          <w:highlight w:val="none"/>
        </w:rPr>
      </w:pPr>
      <w:r>
        <w:rPr>
          <w:rFonts w:hint="eastAsia" w:ascii="宋体" w:hAnsi="宋体" w:eastAsia="宋体" w:cs="宋体"/>
          <w:color w:val="auto"/>
          <w:szCs w:val="24"/>
          <w:highlight w:val="none"/>
        </w:rPr>
        <w:t>电话号码：</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Cs w:val="24"/>
          <w:highlight w:val="none"/>
        </w:rPr>
        <w:t>邮政编码：</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 w:val="28"/>
          <w:szCs w:val="28"/>
          <w:highlight w:val="none"/>
          <w:u w:val="single"/>
        </w:rPr>
        <w:t xml:space="preserve">  </w:t>
      </w:r>
    </w:p>
    <w:p>
      <w:pPr>
        <w:kinsoku/>
        <w:wordWrap/>
        <w:overflowPunct/>
        <w:topLinePunct w:val="0"/>
        <w:bidi w:val="0"/>
        <w:snapToGrid w:val="0"/>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p>
    <w:tbl>
      <w:tblPr>
        <w:tblStyle w:val="17"/>
        <w:tblW w:w="6804" w:type="dxa"/>
        <w:tblInd w:w="138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trPr>
        <w:tc>
          <w:tcPr>
            <w:tcW w:w="6804" w:type="dxa"/>
            <w:tcBorders>
              <w:top w:val="single" w:color="auto" w:sz="4" w:space="0"/>
              <w:left w:val="single" w:color="auto" w:sz="4" w:space="0"/>
              <w:bottom w:val="single" w:color="auto" w:sz="4" w:space="0"/>
              <w:right w:val="single" w:color="auto" w:sz="4" w:space="0"/>
            </w:tcBorders>
            <w:noWrap w:val="0"/>
            <w:vAlign w:val="top"/>
          </w:tcPr>
          <w:p>
            <w:pPr>
              <w:kinsoku/>
              <w:wordWrap/>
              <w:overflowPunct/>
              <w:topLinePunct w:val="0"/>
              <w:bidi w:val="0"/>
              <w:snapToGrid w:val="0"/>
              <w:spacing w:line="360" w:lineRule="auto"/>
              <w:jc w:val="center"/>
              <w:rPr>
                <w:rFonts w:hint="eastAsia" w:ascii="宋体" w:hAnsi="宋体" w:eastAsia="宋体" w:cs="宋体"/>
                <w:color w:val="auto"/>
                <w:sz w:val="28"/>
                <w:szCs w:val="28"/>
                <w:highlight w:val="none"/>
              </w:rPr>
            </w:pPr>
          </w:p>
          <w:p>
            <w:pPr>
              <w:kinsoku/>
              <w:wordWrap/>
              <w:overflowPunct/>
              <w:topLinePunct w:val="0"/>
              <w:bidi w:val="0"/>
              <w:snapToGrid w:val="0"/>
              <w:spacing w:line="360" w:lineRule="auto"/>
              <w:jc w:val="center"/>
              <w:rPr>
                <w:rFonts w:hint="eastAsia" w:ascii="宋体" w:hAnsi="宋体" w:eastAsia="宋体" w:cs="宋体"/>
                <w:color w:val="auto"/>
                <w:sz w:val="28"/>
                <w:szCs w:val="28"/>
                <w:highlight w:val="none"/>
              </w:rPr>
            </w:pPr>
          </w:p>
          <w:p>
            <w:pPr>
              <w:kinsoku/>
              <w:wordWrap/>
              <w:overflowPunct/>
              <w:topLinePunct w:val="0"/>
              <w:bidi w:val="0"/>
              <w:snapToGrid w:val="0"/>
              <w:spacing w:line="360" w:lineRule="auto"/>
              <w:jc w:val="center"/>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法定代表人《居民身份证》</w:t>
            </w:r>
            <w:r>
              <w:rPr>
                <w:rFonts w:hint="eastAsia" w:ascii="宋体" w:hAnsi="宋体" w:eastAsia="宋体" w:cs="宋体"/>
                <w:color w:val="auto"/>
                <w:sz w:val="28"/>
                <w:szCs w:val="28"/>
                <w:highlight w:val="none"/>
                <w:lang w:eastAsia="zh-CN"/>
              </w:rPr>
              <w:t>复印件</w:t>
            </w:r>
          </w:p>
        </w:tc>
      </w:tr>
    </w:tbl>
    <w:p>
      <w:pPr>
        <w:tabs>
          <w:tab w:val="left" w:pos="755"/>
        </w:tabs>
        <w:kinsoku/>
        <w:wordWrap/>
        <w:overflowPunct/>
        <w:topLinePunct w:val="0"/>
        <w:bidi w:val="0"/>
        <w:snapToGrid w:val="0"/>
        <w:spacing w:line="360" w:lineRule="auto"/>
        <w:rPr>
          <w:rFonts w:hint="eastAsia" w:ascii="宋体" w:hAnsi="宋体" w:eastAsia="宋体" w:cs="宋体"/>
          <w:color w:val="auto"/>
          <w:sz w:val="28"/>
          <w:szCs w:val="28"/>
          <w:highlight w:val="none"/>
        </w:rPr>
      </w:pPr>
    </w:p>
    <w:p>
      <w:pPr>
        <w:tabs>
          <w:tab w:val="left" w:pos="755"/>
        </w:tabs>
        <w:kinsoku/>
        <w:wordWrap/>
        <w:overflowPunct/>
        <w:topLinePunct w:val="0"/>
        <w:bidi w:val="0"/>
        <w:snapToGrid w:val="0"/>
        <w:spacing w:line="360" w:lineRule="auto"/>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磋商供应商（</w:t>
      </w:r>
      <w:r>
        <w:rPr>
          <w:rFonts w:hint="eastAsia" w:ascii="宋体" w:hAnsi="宋体" w:eastAsia="宋体" w:cs="宋体"/>
          <w:color w:val="auto"/>
          <w:spacing w:val="-6"/>
          <w:szCs w:val="24"/>
          <w:highlight w:val="none"/>
        </w:rPr>
        <w:t>盖章</w:t>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u w:val="single"/>
        </w:rPr>
        <w:t xml:space="preserve">           </w:t>
      </w:r>
    </w:p>
    <w:p>
      <w:pPr>
        <w:tabs>
          <w:tab w:val="left" w:pos="750"/>
        </w:tabs>
        <w:kinsoku/>
        <w:wordWrap/>
        <w:overflowPunct/>
        <w:topLinePunct w:val="0"/>
        <w:bidi w:val="0"/>
        <w:snapToGrid w:val="0"/>
        <w:spacing w:line="360" w:lineRule="auto"/>
        <w:ind w:firstLine="480" w:firstLineChars="200"/>
        <w:rPr>
          <w:rFonts w:hint="eastAsia" w:ascii="宋体" w:hAnsi="宋体" w:eastAsia="宋体" w:cs="宋体"/>
          <w:color w:val="auto"/>
          <w:szCs w:val="24"/>
          <w:highlight w:val="none"/>
        </w:rPr>
      </w:pPr>
    </w:p>
    <w:p>
      <w:pPr>
        <w:tabs>
          <w:tab w:val="left" w:pos="750"/>
        </w:tabs>
        <w:kinsoku/>
        <w:wordWrap/>
        <w:overflowPunct/>
        <w:topLinePunct w:val="0"/>
        <w:bidi w:val="0"/>
        <w:snapToGrid w:val="0"/>
        <w:spacing w:line="360" w:lineRule="auto"/>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法定代表人（</w:t>
      </w:r>
      <w:r>
        <w:rPr>
          <w:rFonts w:hint="eastAsia" w:ascii="宋体" w:hAnsi="宋体" w:eastAsia="宋体" w:cs="宋体"/>
          <w:color w:val="auto"/>
          <w:spacing w:val="-6"/>
          <w:szCs w:val="24"/>
          <w:highlight w:val="none"/>
        </w:rPr>
        <w:t>签字或盖章</w:t>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u w:val="single"/>
        </w:rPr>
        <w:t xml:space="preserve">           </w:t>
      </w:r>
    </w:p>
    <w:p>
      <w:pPr>
        <w:tabs>
          <w:tab w:val="left" w:pos="750"/>
        </w:tabs>
        <w:kinsoku/>
        <w:wordWrap/>
        <w:overflowPunct/>
        <w:topLinePunct w:val="0"/>
        <w:bidi w:val="0"/>
        <w:snapToGrid w:val="0"/>
        <w:spacing w:line="360" w:lineRule="auto"/>
        <w:ind w:firstLine="480" w:firstLineChars="200"/>
        <w:rPr>
          <w:rFonts w:hint="eastAsia" w:ascii="宋体" w:hAnsi="宋体" w:eastAsia="宋体" w:cs="宋体"/>
          <w:color w:val="auto"/>
          <w:szCs w:val="24"/>
          <w:highlight w:val="none"/>
        </w:rPr>
      </w:pPr>
    </w:p>
    <w:p>
      <w:pPr>
        <w:tabs>
          <w:tab w:val="left" w:pos="750"/>
        </w:tabs>
        <w:kinsoku/>
        <w:wordWrap/>
        <w:overflowPunct/>
        <w:topLinePunct w:val="0"/>
        <w:bidi w:val="0"/>
        <w:snapToGrid w:val="0"/>
        <w:spacing w:line="360" w:lineRule="auto"/>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日期：</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Cs w:val="24"/>
          <w:highlight w:val="none"/>
        </w:rPr>
        <w:t>年</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Cs w:val="24"/>
          <w:highlight w:val="none"/>
        </w:rPr>
        <w:t>月</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Cs w:val="24"/>
          <w:highlight w:val="none"/>
        </w:rPr>
        <w:t>日</w:t>
      </w:r>
    </w:p>
    <w:p>
      <w:pPr>
        <w:kinsoku/>
        <w:wordWrap/>
        <w:overflowPunct/>
        <w:topLinePunct w:val="0"/>
        <w:bidi w:val="0"/>
        <w:snapToGrid w:val="0"/>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p>
    <w:p>
      <w:pPr>
        <w:kinsoku/>
        <w:wordWrap/>
        <w:overflowPunct/>
        <w:topLinePunct w:val="0"/>
        <w:bidi w:val="0"/>
        <w:snapToGrid w:val="0"/>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p>
    <w:p>
      <w:pPr>
        <w:kinsoku/>
        <w:wordWrap/>
        <w:overflowPunct/>
        <w:topLinePunct w:val="0"/>
        <w:bidi w:val="0"/>
        <w:snapToGrid w:val="0"/>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p>
    <w:p>
      <w:pPr>
        <w:pStyle w:val="9"/>
        <w:kinsoku/>
        <w:wordWrap/>
        <w:overflowPunct/>
        <w:topLinePunct w:val="0"/>
        <w:bidi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br w:type="page"/>
      </w:r>
      <w:bookmarkStart w:id="159" w:name="_Toc570"/>
      <w:bookmarkStart w:id="160" w:name="_Toc12550"/>
      <w:bookmarkStart w:id="161" w:name="_Toc19879"/>
      <w:r>
        <w:rPr>
          <w:rFonts w:hint="eastAsia" w:ascii="宋体" w:hAnsi="宋体" w:eastAsia="宋体" w:cs="宋体"/>
          <w:color w:val="auto"/>
          <w:sz w:val="24"/>
          <w:szCs w:val="24"/>
          <w:highlight w:val="none"/>
        </w:rPr>
        <w:t>附件四</w:t>
      </w:r>
      <w:bookmarkEnd w:id="159"/>
      <w:bookmarkEnd w:id="160"/>
      <w:bookmarkEnd w:id="161"/>
    </w:p>
    <w:p>
      <w:pPr>
        <w:kinsoku/>
        <w:wordWrap/>
        <w:overflowPunct/>
        <w:topLinePunct w:val="0"/>
        <w:bidi w:val="0"/>
        <w:snapToGrid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法定代表人授权书</w:t>
      </w:r>
    </w:p>
    <w:p>
      <w:pPr>
        <w:kinsoku/>
        <w:wordWrap/>
        <w:overflowPunct/>
        <w:topLinePunct w:val="0"/>
        <w:bidi w:val="0"/>
        <w:spacing w:line="360" w:lineRule="auto"/>
        <w:ind w:firstLine="480" w:firstLineChars="200"/>
        <w:rPr>
          <w:rFonts w:hint="eastAsia" w:ascii="宋体" w:hAnsi="宋体" w:eastAsia="宋体" w:cs="宋体"/>
          <w:color w:val="auto"/>
          <w:szCs w:val="24"/>
          <w:highlight w:val="none"/>
          <w:u w:val="single"/>
          <w:lang w:eastAsia="zh-CN"/>
        </w:rPr>
      </w:pPr>
      <w:r>
        <w:rPr>
          <w:rFonts w:hint="eastAsia" w:ascii="宋体" w:hAnsi="宋体" w:eastAsia="宋体" w:cs="宋体"/>
          <w:color w:val="auto"/>
          <w:szCs w:val="24"/>
          <w:highlight w:val="none"/>
          <w:u w:val="single"/>
          <w:lang w:eastAsia="zh-CN"/>
        </w:rPr>
        <w:t>（代理机构名称）：</w:t>
      </w:r>
    </w:p>
    <w:p>
      <w:pPr>
        <w:kinsoku/>
        <w:wordWrap/>
        <w:overflowPunct/>
        <w:topLinePunct w:val="0"/>
        <w:bidi w:val="0"/>
        <w:spacing w:line="360" w:lineRule="auto"/>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兹授权</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Cs w:val="24"/>
          <w:highlight w:val="none"/>
        </w:rPr>
        <w:t>同志为我公司参加贵单位组织的编号为</w:t>
      </w:r>
      <w:r>
        <w:rPr>
          <w:rFonts w:hint="eastAsia" w:ascii="宋体" w:hAnsi="宋体" w:eastAsia="宋体" w:cs="宋体"/>
          <w:color w:val="auto"/>
          <w:szCs w:val="24"/>
          <w:highlight w:val="none"/>
          <w:u w:val="single"/>
        </w:rPr>
        <w:t>（项目编号）</w:t>
      </w:r>
      <w:r>
        <w:rPr>
          <w:rFonts w:hint="eastAsia" w:ascii="宋体" w:hAnsi="宋体" w:eastAsia="宋体" w:cs="宋体"/>
          <w:color w:val="auto"/>
          <w:szCs w:val="24"/>
          <w:highlight w:val="none"/>
        </w:rPr>
        <w:t>的</w:t>
      </w:r>
      <w:r>
        <w:rPr>
          <w:rFonts w:hint="eastAsia" w:ascii="宋体" w:hAnsi="宋体" w:eastAsia="宋体" w:cs="宋体"/>
          <w:color w:val="auto"/>
          <w:szCs w:val="24"/>
          <w:highlight w:val="none"/>
          <w:u w:val="single"/>
        </w:rPr>
        <w:t>（项 目 名 称）</w:t>
      </w:r>
      <w:r>
        <w:rPr>
          <w:rFonts w:hint="eastAsia" w:ascii="宋体" w:hAnsi="宋体" w:eastAsia="宋体" w:cs="宋体"/>
          <w:color w:val="auto"/>
          <w:szCs w:val="24"/>
          <w:highlight w:val="none"/>
        </w:rPr>
        <w:t>采购活动的磋商代表人，全权代表我公司处理在该项目活动中的一切事宜。代理期限从</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Cs w:val="24"/>
          <w:highlight w:val="none"/>
        </w:rPr>
        <w:t>年</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Cs w:val="24"/>
          <w:highlight w:val="none"/>
        </w:rPr>
        <w:t>月</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Cs w:val="24"/>
          <w:highlight w:val="none"/>
        </w:rPr>
        <w:t>日起至</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Cs w:val="24"/>
          <w:highlight w:val="none"/>
        </w:rPr>
        <w:t>年</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Cs w:val="24"/>
          <w:highlight w:val="none"/>
        </w:rPr>
        <w:t>月</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Cs w:val="24"/>
          <w:highlight w:val="none"/>
        </w:rPr>
        <w:t xml:space="preserve">日止。 </w:t>
      </w:r>
    </w:p>
    <w:p>
      <w:pPr>
        <w:kinsoku/>
        <w:wordWrap/>
        <w:overflowPunct/>
        <w:topLinePunct w:val="0"/>
        <w:bidi w:val="0"/>
        <w:spacing w:line="360" w:lineRule="auto"/>
        <w:rPr>
          <w:rFonts w:hint="eastAsia" w:ascii="宋体" w:hAnsi="宋体" w:eastAsia="宋体" w:cs="宋体"/>
          <w:color w:val="auto"/>
          <w:szCs w:val="24"/>
          <w:highlight w:val="none"/>
        </w:rPr>
      </w:pPr>
    </w:p>
    <w:p>
      <w:pPr>
        <w:kinsoku/>
        <w:wordWrap/>
        <w:overflowPunct/>
        <w:topLinePunct w:val="0"/>
        <w:bidi w:val="0"/>
        <w:spacing w:line="360" w:lineRule="auto"/>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授权单位（签章）：</w:t>
      </w:r>
      <w:r>
        <w:rPr>
          <w:rFonts w:hint="eastAsia" w:ascii="宋体" w:hAnsi="宋体" w:eastAsia="宋体" w:cs="宋体"/>
          <w:color w:val="auto"/>
          <w:szCs w:val="24"/>
          <w:highlight w:val="none"/>
          <w:u w:val="single"/>
        </w:rPr>
        <w:t xml:space="preserve">               </w:t>
      </w:r>
    </w:p>
    <w:p>
      <w:pPr>
        <w:kinsoku/>
        <w:wordWrap/>
        <w:overflowPunct/>
        <w:topLinePunct w:val="0"/>
        <w:bidi w:val="0"/>
        <w:spacing w:line="360" w:lineRule="auto"/>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法定代表人（签章）：</w:t>
      </w:r>
      <w:r>
        <w:rPr>
          <w:rFonts w:hint="eastAsia" w:ascii="宋体" w:hAnsi="宋体" w:eastAsia="宋体" w:cs="宋体"/>
          <w:color w:val="auto"/>
          <w:szCs w:val="24"/>
          <w:highlight w:val="none"/>
          <w:u w:val="single"/>
        </w:rPr>
        <w:t xml:space="preserve">             </w:t>
      </w:r>
    </w:p>
    <w:p>
      <w:pPr>
        <w:kinsoku/>
        <w:wordWrap/>
        <w:overflowPunct/>
        <w:topLinePunct w:val="0"/>
        <w:bidi w:val="0"/>
        <w:spacing w:line="360" w:lineRule="auto"/>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签发日期：</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Cs w:val="24"/>
          <w:highlight w:val="none"/>
        </w:rPr>
        <w:t>年</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Cs w:val="24"/>
          <w:highlight w:val="none"/>
        </w:rPr>
        <w:t>月</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Cs w:val="24"/>
          <w:highlight w:val="none"/>
        </w:rPr>
        <w:t>日</w:t>
      </w:r>
    </w:p>
    <w:p>
      <w:pPr>
        <w:kinsoku/>
        <w:wordWrap/>
        <w:overflowPunct/>
        <w:topLinePunct w:val="0"/>
        <w:bidi w:val="0"/>
        <w:spacing w:line="360" w:lineRule="auto"/>
        <w:rPr>
          <w:rFonts w:hint="eastAsia" w:ascii="宋体" w:hAnsi="宋体" w:eastAsia="宋体" w:cs="宋体"/>
          <w:color w:val="auto"/>
          <w:szCs w:val="24"/>
          <w:highlight w:val="none"/>
        </w:rPr>
      </w:pPr>
    </w:p>
    <w:p>
      <w:pPr>
        <w:kinsoku/>
        <w:wordWrap/>
        <w:overflowPunct/>
        <w:topLinePunct w:val="0"/>
        <w:bidi w:val="0"/>
        <w:spacing w:line="360" w:lineRule="auto"/>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附：代理人工作单位：</w:t>
      </w:r>
      <w:r>
        <w:rPr>
          <w:rFonts w:hint="eastAsia" w:ascii="宋体" w:hAnsi="宋体" w:eastAsia="宋体" w:cs="宋体"/>
          <w:color w:val="auto"/>
          <w:szCs w:val="24"/>
          <w:highlight w:val="none"/>
          <w:u w:val="single"/>
        </w:rPr>
        <w:t xml:space="preserve">                      </w:t>
      </w:r>
    </w:p>
    <w:p>
      <w:pPr>
        <w:kinsoku/>
        <w:wordWrap/>
        <w:overflowPunct/>
        <w:topLinePunct w:val="0"/>
        <w:bidi w:val="0"/>
        <w:spacing w:line="360" w:lineRule="auto"/>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职务：</w:t>
      </w:r>
      <w:r>
        <w:rPr>
          <w:rFonts w:hint="eastAsia" w:ascii="宋体" w:hAnsi="宋体" w:eastAsia="宋体" w:cs="宋体"/>
          <w:color w:val="auto"/>
          <w:szCs w:val="24"/>
          <w:highlight w:val="none"/>
          <w:u w:val="single"/>
        </w:rPr>
        <w:t xml:space="preserve">                    </w:t>
      </w:r>
      <w:r>
        <w:rPr>
          <w:rFonts w:hint="eastAsia" w:ascii="宋体" w:hAnsi="宋体" w:eastAsia="宋体" w:cs="宋体"/>
          <w:color w:val="auto"/>
          <w:szCs w:val="24"/>
          <w:highlight w:val="none"/>
        </w:rPr>
        <w:t xml:space="preserve">    性别：</w:t>
      </w:r>
      <w:r>
        <w:rPr>
          <w:rFonts w:hint="eastAsia" w:ascii="宋体" w:hAnsi="宋体" w:eastAsia="宋体" w:cs="宋体"/>
          <w:color w:val="auto"/>
          <w:szCs w:val="24"/>
          <w:highlight w:val="none"/>
          <w:u w:val="single"/>
        </w:rPr>
        <w:t xml:space="preserve">      </w:t>
      </w:r>
    </w:p>
    <w:p>
      <w:pPr>
        <w:kinsoku/>
        <w:wordWrap/>
        <w:overflowPunct/>
        <w:topLinePunct w:val="0"/>
        <w:bidi w:val="0"/>
        <w:snapToGrid w:val="0"/>
        <w:spacing w:line="360" w:lineRule="auto"/>
        <w:ind w:firstLine="480" w:firstLineChars="200"/>
        <w:rPr>
          <w:rFonts w:hint="eastAsia" w:ascii="宋体" w:hAnsi="宋体" w:eastAsia="宋体" w:cs="宋体"/>
          <w:color w:val="auto"/>
          <w:szCs w:val="24"/>
          <w:highlight w:val="none"/>
          <w:u w:val="single"/>
        </w:rPr>
      </w:pPr>
      <w:r>
        <w:rPr>
          <w:rFonts w:hint="eastAsia" w:ascii="宋体" w:hAnsi="宋体" w:eastAsia="宋体" w:cs="宋体"/>
          <w:color w:val="auto"/>
          <w:szCs w:val="24"/>
          <w:highlight w:val="none"/>
        </w:rPr>
        <w:t>身份证号码：</w:t>
      </w:r>
      <w:r>
        <w:rPr>
          <w:rFonts w:hint="eastAsia" w:ascii="宋体" w:hAnsi="宋体" w:eastAsia="宋体" w:cs="宋体"/>
          <w:color w:val="auto"/>
          <w:szCs w:val="24"/>
          <w:highlight w:val="none"/>
          <w:u w:val="single"/>
        </w:rPr>
        <w:t xml:space="preserve">                              </w:t>
      </w:r>
    </w:p>
    <w:p>
      <w:pPr>
        <w:kinsoku/>
        <w:wordWrap/>
        <w:overflowPunct/>
        <w:topLinePunct w:val="0"/>
        <w:bidi w:val="0"/>
        <w:snapToGrid w:val="0"/>
        <w:spacing w:line="360" w:lineRule="auto"/>
        <w:ind w:left="-101" w:leftChars="-42" w:firstLine="700" w:firstLineChars="250"/>
        <w:rPr>
          <w:rFonts w:hint="eastAsia" w:ascii="宋体" w:hAnsi="宋体" w:eastAsia="宋体" w:cs="宋体"/>
          <w:color w:val="auto"/>
          <w:sz w:val="28"/>
          <w:szCs w:val="28"/>
          <w:highlight w:val="none"/>
          <w:u w:val="single"/>
        </w:rPr>
      </w:pPr>
    </w:p>
    <w:tbl>
      <w:tblPr>
        <w:tblStyle w:val="17"/>
        <w:tblW w:w="7668" w:type="dxa"/>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2" w:hRule="atLeast"/>
        </w:trPr>
        <w:tc>
          <w:tcPr>
            <w:tcW w:w="7668" w:type="dxa"/>
            <w:tcBorders>
              <w:top w:val="single" w:color="auto" w:sz="4" w:space="0"/>
              <w:left w:val="single" w:color="auto" w:sz="4" w:space="0"/>
              <w:bottom w:val="single" w:color="auto" w:sz="4" w:space="0"/>
              <w:right w:val="single" w:color="auto" w:sz="4" w:space="0"/>
            </w:tcBorders>
            <w:noWrap w:val="0"/>
            <w:vAlign w:val="top"/>
          </w:tcPr>
          <w:p>
            <w:pPr>
              <w:kinsoku/>
              <w:wordWrap/>
              <w:overflowPunct/>
              <w:topLinePunct w:val="0"/>
              <w:bidi w:val="0"/>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粘贴被授权人身份证（</w:t>
            </w:r>
            <w:r>
              <w:rPr>
                <w:rFonts w:hint="eastAsia" w:ascii="宋体" w:hAnsi="宋体" w:eastAsia="宋体" w:cs="宋体"/>
                <w:color w:val="auto"/>
                <w:sz w:val="28"/>
                <w:szCs w:val="28"/>
                <w:highlight w:val="none"/>
                <w:lang w:eastAsia="zh-CN"/>
              </w:rPr>
              <w:t>复印件</w:t>
            </w:r>
            <w:r>
              <w:rPr>
                <w:rFonts w:hint="eastAsia" w:ascii="宋体" w:hAnsi="宋体" w:eastAsia="宋体" w:cs="宋体"/>
                <w:color w:val="auto"/>
                <w:sz w:val="28"/>
                <w:szCs w:val="28"/>
                <w:highlight w:val="none"/>
              </w:rPr>
              <w:t>）</w:t>
            </w:r>
          </w:p>
        </w:tc>
      </w:tr>
    </w:tbl>
    <w:p>
      <w:pPr>
        <w:kinsoku/>
        <w:wordWrap/>
        <w:overflowPunct/>
        <w:topLinePunct w:val="0"/>
        <w:autoSpaceDE w:val="0"/>
        <w:autoSpaceDN w:val="0"/>
        <w:bidi w:val="0"/>
        <w:spacing w:line="360" w:lineRule="auto"/>
        <w:ind w:left="480" w:hanging="480"/>
        <w:rPr>
          <w:rFonts w:hint="eastAsia" w:ascii="宋体" w:hAnsi="宋体" w:eastAsia="宋体" w:cs="宋体"/>
          <w:color w:val="auto"/>
          <w:sz w:val="28"/>
          <w:szCs w:val="28"/>
          <w:highlight w:val="none"/>
        </w:rPr>
      </w:pPr>
    </w:p>
    <w:p>
      <w:pPr>
        <w:kinsoku/>
        <w:wordWrap/>
        <w:overflowPunct/>
        <w:topLinePunct w:val="0"/>
        <w:bidi w:val="0"/>
        <w:spacing w:line="360" w:lineRule="auto"/>
        <w:rPr>
          <w:rFonts w:hint="eastAsia" w:ascii="宋体" w:hAnsi="宋体" w:eastAsia="宋体" w:cs="宋体"/>
          <w:color w:val="auto"/>
          <w:highlight w:val="none"/>
        </w:rPr>
      </w:pPr>
    </w:p>
    <w:p>
      <w:pPr>
        <w:pStyle w:val="9"/>
        <w:kinsoku/>
        <w:wordWrap/>
        <w:overflowPunct/>
        <w:topLinePunct w:val="0"/>
        <w:bidi w:val="0"/>
        <w:spacing w:line="360" w:lineRule="auto"/>
        <w:rPr>
          <w:rFonts w:hint="eastAsia" w:ascii="宋体" w:hAnsi="宋体" w:eastAsia="宋体" w:cs="宋体"/>
          <w:color w:val="auto"/>
          <w:kern w:val="0"/>
          <w:highlight w:val="none"/>
        </w:rPr>
      </w:pPr>
      <w:r>
        <w:rPr>
          <w:rFonts w:hint="eastAsia" w:ascii="宋体" w:hAnsi="宋体" w:eastAsia="宋体" w:cs="宋体"/>
          <w:color w:val="auto"/>
          <w:highlight w:val="none"/>
        </w:rPr>
        <w:br w:type="page"/>
      </w:r>
      <w:bookmarkStart w:id="162" w:name="_Toc1388"/>
      <w:bookmarkStart w:id="163" w:name="_Toc26719"/>
      <w:r>
        <w:rPr>
          <w:rFonts w:hint="eastAsia" w:ascii="宋体" w:hAnsi="宋体" w:eastAsia="宋体" w:cs="宋体"/>
          <w:color w:val="auto"/>
          <w:kern w:val="0"/>
          <w:highlight w:val="none"/>
        </w:rPr>
        <w:t>附件五</w:t>
      </w:r>
      <w:bookmarkEnd w:id="162"/>
      <w:bookmarkEnd w:id="163"/>
    </w:p>
    <w:p>
      <w:pPr>
        <w:kinsoku/>
        <w:wordWrap/>
        <w:overflowPunct/>
        <w:topLinePunct w:val="0"/>
        <w:bidi w:val="0"/>
        <w:snapToGrid w:val="0"/>
        <w:spacing w:line="360" w:lineRule="auto"/>
        <w:jc w:val="center"/>
        <w:rPr>
          <w:rFonts w:hint="eastAsia" w:ascii="宋体" w:hAnsi="宋体" w:eastAsia="宋体" w:cs="宋体"/>
          <w:b/>
          <w:color w:val="auto"/>
          <w:sz w:val="32"/>
          <w:szCs w:val="32"/>
          <w:highlight w:val="none"/>
        </w:rPr>
      </w:pPr>
      <w:bookmarkStart w:id="164" w:name="_格式3__银行出具的资信证明"/>
      <w:bookmarkEnd w:id="164"/>
      <w:bookmarkStart w:id="165" w:name="_Hlt26955070"/>
      <w:bookmarkEnd w:id="165"/>
      <w:bookmarkStart w:id="166" w:name="_Hlt26671380"/>
      <w:bookmarkEnd w:id="166"/>
      <w:bookmarkStart w:id="167" w:name="_Toc513029283"/>
      <w:bookmarkStart w:id="168" w:name="_Toc120614292"/>
      <w:bookmarkStart w:id="169" w:name="_Toc49090584"/>
      <w:bookmarkStart w:id="170" w:name="_Toc26554105"/>
      <w:bookmarkStart w:id="171" w:name="_Toc22356585"/>
      <w:bookmarkStart w:id="172" w:name="_Toc23828485"/>
      <w:r>
        <w:rPr>
          <w:rFonts w:hint="eastAsia" w:ascii="宋体" w:hAnsi="宋体" w:eastAsia="宋体" w:cs="宋体"/>
          <w:b/>
          <w:color w:val="auto"/>
          <w:sz w:val="32"/>
          <w:szCs w:val="32"/>
          <w:highlight w:val="none"/>
        </w:rPr>
        <w:t>供应商资格声明</w:t>
      </w:r>
      <w:bookmarkEnd w:id="167"/>
      <w:bookmarkEnd w:id="168"/>
      <w:bookmarkEnd w:id="169"/>
      <w:bookmarkEnd w:id="170"/>
      <w:bookmarkEnd w:id="171"/>
      <w:bookmarkEnd w:id="172"/>
      <w:r>
        <w:rPr>
          <w:rFonts w:hint="eastAsia" w:ascii="宋体" w:hAnsi="宋体" w:eastAsia="宋体" w:cs="宋体"/>
          <w:b/>
          <w:color w:val="auto"/>
          <w:sz w:val="32"/>
          <w:szCs w:val="32"/>
          <w:highlight w:val="none"/>
        </w:rPr>
        <w:t>格式</w:t>
      </w:r>
    </w:p>
    <w:tbl>
      <w:tblPr>
        <w:tblStyle w:val="17"/>
        <w:tblW w:w="91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2"/>
        <w:gridCol w:w="1502"/>
        <w:gridCol w:w="1469"/>
        <w:gridCol w:w="55"/>
        <w:gridCol w:w="1504"/>
        <w:gridCol w:w="20"/>
        <w:gridCol w:w="541"/>
        <w:gridCol w:w="996"/>
        <w:gridCol w:w="15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2" w:hRule="atLeast"/>
        </w:trPr>
        <w:tc>
          <w:tcPr>
            <w:tcW w:w="1532" w:type="dxa"/>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企业名称</w:t>
            </w:r>
          </w:p>
        </w:tc>
        <w:tc>
          <w:tcPr>
            <w:tcW w:w="7637" w:type="dxa"/>
            <w:gridSpan w:val="8"/>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7" w:hRule="atLeast"/>
        </w:trPr>
        <w:tc>
          <w:tcPr>
            <w:tcW w:w="1532" w:type="dxa"/>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地址</w:t>
            </w:r>
          </w:p>
        </w:tc>
        <w:tc>
          <w:tcPr>
            <w:tcW w:w="7637" w:type="dxa"/>
            <w:gridSpan w:val="8"/>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1532" w:type="dxa"/>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主管部门</w:t>
            </w:r>
          </w:p>
        </w:tc>
        <w:tc>
          <w:tcPr>
            <w:tcW w:w="1502" w:type="dxa"/>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p>
        </w:tc>
        <w:tc>
          <w:tcPr>
            <w:tcW w:w="1524" w:type="dxa"/>
            <w:gridSpan w:val="2"/>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法定代表人</w:t>
            </w:r>
          </w:p>
        </w:tc>
        <w:tc>
          <w:tcPr>
            <w:tcW w:w="1524" w:type="dxa"/>
            <w:gridSpan w:val="2"/>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p>
        </w:tc>
        <w:tc>
          <w:tcPr>
            <w:tcW w:w="1537" w:type="dxa"/>
            <w:gridSpan w:val="2"/>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职务</w:t>
            </w:r>
          </w:p>
        </w:tc>
        <w:tc>
          <w:tcPr>
            <w:tcW w:w="1550" w:type="dxa"/>
            <w:noWrap w:val="0"/>
            <w:vAlign w:val="top"/>
          </w:tcPr>
          <w:p>
            <w:pPr>
              <w:kinsoku/>
              <w:wordWrap/>
              <w:overflowPunct/>
              <w:topLinePunct w:val="0"/>
              <w:bidi w:val="0"/>
              <w:spacing w:line="360" w:lineRule="auto"/>
              <w:rPr>
                <w:rFonts w:hint="eastAsia" w:ascii="宋体" w:hAnsi="宋体" w:eastAsia="宋体" w:cs="宋体"/>
                <w:bCs/>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1532" w:type="dxa"/>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注册时间</w:t>
            </w:r>
          </w:p>
        </w:tc>
        <w:tc>
          <w:tcPr>
            <w:tcW w:w="3026" w:type="dxa"/>
            <w:gridSpan w:val="3"/>
            <w:noWrap w:val="0"/>
            <w:vAlign w:val="top"/>
          </w:tcPr>
          <w:p>
            <w:pPr>
              <w:kinsoku/>
              <w:wordWrap/>
              <w:overflowPunct/>
              <w:topLinePunct w:val="0"/>
              <w:bidi w:val="0"/>
              <w:spacing w:line="360" w:lineRule="auto"/>
              <w:rPr>
                <w:rFonts w:hint="eastAsia" w:ascii="宋体" w:hAnsi="宋体" w:eastAsia="宋体" w:cs="宋体"/>
                <w:bCs/>
                <w:color w:val="auto"/>
                <w:szCs w:val="24"/>
                <w:highlight w:val="none"/>
              </w:rPr>
            </w:pPr>
          </w:p>
        </w:tc>
        <w:tc>
          <w:tcPr>
            <w:tcW w:w="1524" w:type="dxa"/>
            <w:gridSpan w:val="2"/>
            <w:noWrap w:val="0"/>
            <w:vAlign w:val="top"/>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经济类型</w:t>
            </w:r>
          </w:p>
        </w:tc>
        <w:tc>
          <w:tcPr>
            <w:tcW w:w="3087" w:type="dxa"/>
            <w:gridSpan w:val="3"/>
            <w:noWrap w:val="0"/>
            <w:vAlign w:val="top"/>
          </w:tcPr>
          <w:p>
            <w:pPr>
              <w:kinsoku/>
              <w:wordWrap/>
              <w:overflowPunct/>
              <w:topLinePunct w:val="0"/>
              <w:bidi w:val="0"/>
              <w:spacing w:line="360" w:lineRule="auto"/>
              <w:rPr>
                <w:rFonts w:hint="eastAsia" w:ascii="宋体" w:hAnsi="宋体" w:eastAsia="宋体" w:cs="宋体"/>
                <w:bCs/>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4" w:hRule="atLeast"/>
        </w:trPr>
        <w:tc>
          <w:tcPr>
            <w:tcW w:w="4558" w:type="dxa"/>
            <w:gridSpan w:val="4"/>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近三年内有经营活动中有无重大违法纪录</w:t>
            </w:r>
          </w:p>
        </w:tc>
        <w:tc>
          <w:tcPr>
            <w:tcW w:w="4611" w:type="dxa"/>
            <w:gridSpan w:val="5"/>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0" w:hRule="atLeast"/>
        </w:trPr>
        <w:tc>
          <w:tcPr>
            <w:tcW w:w="1532" w:type="dxa"/>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是否依法缴纳税收</w:t>
            </w:r>
          </w:p>
        </w:tc>
        <w:tc>
          <w:tcPr>
            <w:tcW w:w="3026" w:type="dxa"/>
            <w:gridSpan w:val="3"/>
            <w:noWrap w:val="0"/>
            <w:vAlign w:val="top"/>
          </w:tcPr>
          <w:p>
            <w:pPr>
              <w:kinsoku/>
              <w:wordWrap/>
              <w:overflowPunct/>
              <w:topLinePunct w:val="0"/>
              <w:bidi w:val="0"/>
              <w:spacing w:line="360" w:lineRule="auto"/>
              <w:rPr>
                <w:rFonts w:hint="eastAsia" w:ascii="宋体" w:hAnsi="宋体" w:eastAsia="宋体" w:cs="宋体"/>
                <w:bCs/>
                <w:color w:val="auto"/>
                <w:szCs w:val="24"/>
                <w:highlight w:val="none"/>
              </w:rPr>
            </w:pPr>
          </w:p>
        </w:tc>
        <w:tc>
          <w:tcPr>
            <w:tcW w:w="2065" w:type="dxa"/>
            <w:gridSpan w:val="3"/>
            <w:noWrap w:val="0"/>
            <w:vAlign w:val="top"/>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是否依法缴纳社会保障资金</w:t>
            </w:r>
          </w:p>
        </w:tc>
        <w:tc>
          <w:tcPr>
            <w:tcW w:w="2546" w:type="dxa"/>
            <w:gridSpan w:val="2"/>
            <w:noWrap w:val="0"/>
            <w:vAlign w:val="top"/>
          </w:tcPr>
          <w:p>
            <w:pPr>
              <w:kinsoku/>
              <w:wordWrap/>
              <w:overflowPunct/>
              <w:topLinePunct w:val="0"/>
              <w:bidi w:val="0"/>
              <w:spacing w:line="360" w:lineRule="auto"/>
              <w:rPr>
                <w:rFonts w:hint="eastAsia" w:ascii="宋体" w:hAnsi="宋体" w:eastAsia="宋体" w:cs="宋体"/>
                <w:bCs/>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8" w:hRule="atLeast"/>
        </w:trPr>
        <w:tc>
          <w:tcPr>
            <w:tcW w:w="1532" w:type="dxa"/>
            <w:vMerge w:val="restart"/>
            <w:noWrap w:val="0"/>
            <w:vAlign w:val="top"/>
          </w:tcPr>
          <w:p>
            <w:pPr>
              <w:kinsoku/>
              <w:wordWrap/>
              <w:overflowPunct/>
              <w:topLinePunct w:val="0"/>
              <w:bidi w:val="0"/>
              <w:spacing w:line="360" w:lineRule="auto"/>
              <w:rPr>
                <w:rFonts w:hint="eastAsia" w:ascii="宋体" w:hAnsi="宋体" w:eastAsia="宋体" w:cs="宋体"/>
                <w:bCs/>
                <w:color w:val="auto"/>
                <w:szCs w:val="24"/>
                <w:highlight w:val="none"/>
              </w:rPr>
            </w:pPr>
          </w:p>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单</w:t>
            </w:r>
          </w:p>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位</w:t>
            </w:r>
          </w:p>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概</w:t>
            </w:r>
          </w:p>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况</w:t>
            </w:r>
          </w:p>
        </w:tc>
        <w:tc>
          <w:tcPr>
            <w:tcW w:w="1502" w:type="dxa"/>
            <w:noWrap w:val="0"/>
            <w:vAlign w:val="center"/>
          </w:tcPr>
          <w:p>
            <w:pPr>
              <w:kinsoku/>
              <w:wordWrap/>
              <w:overflowPunct/>
              <w:topLinePunct w:val="0"/>
              <w:bidi w:val="0"/>
              <w:spacing w:line="360" w:lineRule="auto"/>
              <w:jc w:val="center"/>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注册资本</w:t>
            </w:r>
          </w:p>
        </w:tc>
        <w:tc>
          <w:tcPr>
            <w:tcW w:w="6135" w:type="dxa"/>
            <w:gridSpan w:val="7"/>
            <w:noWrap w:val="0"/>
            <w:vAlign w:val="center"/>
          </w:tcPr>
          <w:p>
            <w:pPr>
              <w:kinsoku/>
              <w:wordWrap/>
              <w:overflowPunct/>
              <w:topLinePunct w:val="0"/>
              <w:bidi w:val="0"/>
              <w:spacing w:line="360" w:lineRule="auto"/>
              <w:ind w:firstLine="840" w:firstLineChars="35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532" w:type="dxa"/>
            <w:vMerge w:val="continue"/>
            <w:noWrap w:val="0"/>
            <w:vAlign w:val="top"/>
          </w:tcPr>
          <w:p>
            <w:pPr>
              <w:kinsoku/>
              <w:wordWrap/>
              <w:overflowPunct/>
              <w:topLinePunct w:val="0"/>
              <w:bidi w:val="0"/>
              <w:spacing w:line="360" w:lineRule="auto"/>
              <w:rPr>
                <w:rFonts w:hint="eastAsia" w:ascii="宋体" w:hAnsi="宋体" w:eastAsia="宋体" w:cs="宋体"/>
                <w:color w:val="auto"/>
                <w:sz w:val="22"/>
                <w:szCs w:val="21"/>
                <w:highlight w:val="none"/>
              </w:rPr>
            </w:pPr>
          </w:p>
        </w:tc>
        <w:tc>
          <w:tcPr>
            <w:tcW w:w="1502" w:type="dxa"/>
            <w:noWrap w:val="0"/>
            <w:vAlign w:val="center"/>
          </w:tcPr>
          <w:p>
            <w:pPr>
              <w:kinsoku/>
              <w:wordWrap/>
              <w:overflowPunct/>
              <w:topLinePunct w:val="0"/>
              <w:bidi w:val="0"/>
              <w:spacing w:line="360" w:lineRule="auto"/>
              <w:jc w:val="center"/>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职工总数</w:t>
            </w:r>
          </w:p>
        </w:tc>
        <w:tc>
          <w:tcPr>
            <w:tcW w:w="6135" w:type="dxa"/>
            <w:gridSpan w:val="7"/>
            <w:noWrap w:val="0"/>
            <w:vAlign w:val="center"/>
          </w:tcPr>
          <w:p>
            <w:pPr>
              <w:kinsoku/>
              <w:wordWrap/>
              <w:overflowPunct/>
              <w:topLinePunct w:val="0"/>
              <w:bidi w:val="0"/>
              <w:spacing w:line="360" w:lineRule="auto"/>
              <w:ind w:firstLine="960" w:firstLineChars="400"/>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3" w:hRule="atLeast"/>
        </w:trPr>
        <w:tc>
          <w:tcPr>
            <w:tcW w:w="1532" w:type="dxa"/>
            <w:vMerge w:val="continue"/>
            <w:noWrap w:val="0"/>
            <w:vAlign w:val="top"/>
          </w:tcPr>
          <w:p>
            <w:pPr>
              <w:kinsoku/>
              <w:wordWrap/>
              <w:overflowPunct/>
              <w:topLinePunct w:val="0"/>
              <w:bidi w:val="0"/>
              <w:spacing w:line="360" w:lineRule="auto"/>
              <w:rPr>
                <w:rFonts w:hint="eastAsia" w:ascii="宋体" w:hAnsi="宋体" w:eastAsia="宋体" w:cs="宋体"/>
                <w:color w:val="auto"/>
                <w:sz w:val="22"/>
                <w:szCs w:val="21"/>
                <w:highlight w:val="none"/>
              </w:rPr>
            </w:pPr>
          </w:p>
        </w:tc>
        <w:tc>
          <w:tcPr>
            <w:tcW w:w="1502" w:type="dxa"/>
            <w:vMerge w:val="restart"/>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资产</w:t>
            </w:r>
          </w:p>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情况</w:t>
            </w:r>
          </w:p>
        </w:tc>
        <w:tc>
          <w:tcPr>
            <w:tcW w:w="3028" w:type="dxa"/>
            <w:gridSpan w:val="3"/>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净资产：     万元</w:t>
            </w:r>
          </w:p>
        </w:tc>
        <w:tc>
          <w:tcPr>
            <w:tcW w:w="3107" w:type="dxa"/>
            <w:gridSpan w:val="4"/>
            <w:vMerge w:val="restart"/>
            <w:noWrap w:val="0"/>
            <w:vAlign w:val="top"/>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固定资产原值 ：  万元</w:t>
            </w:r>
          </w:p>
          <w:p>
            <w:pPr>
              <w:kinsoku/>
              <w:wordWrap/>
              <w:overflowPunct/>
              <w:topLinePunct w:val="0"/>
              <w:bidi w:val="0"/>
              <w:spacing w:line="360" w:lineRule="auto"/>
              <w:rPr>
                <w:rFonts w:hint="eastAsia" w:ascii="宋体" w:hAnsi="宋体" w:eastAsia="宋体" w:cs="宋体"/>
                <w:bCs/>
                <w:color w:val="auto"/>
                <w:szCs w:val="24"/>
                <w:highlight w:val="none"/>
              </w:rPr>
            </w:pPr>
          </w:p>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固定资产净值：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trPr>
        <w:tc>
          <w:tcPr>
            <w:tcW w:w="1532" w:type="dxa"/>
            <w:vMerge w:val="continue"/>
            <w:noWrap w:val="0"/>
            <w:vAlign w:val="top"/>
          </w:tcPr>
          <w:p>
            <w:pPr>
              <w:kinsoku/>
              <w:wordWrap/>
              <w:overflowPunct/>
              <w:topLinePunct w:val="0"/>
              <w:bidi w:val="0"/>
              <w:spacing w:line="360" w:lineRule="auto"/>
              <w:rPr>
                <w:rFonts w:hint="eastAsia" w:ascii="宋体" w:hAnsi="宋体" w:eastAsia="宋体" w:cs="宋体"/>
                <w:color w:val="auto"/>
                <w:sz w:val="22"/>
                <w:szCs w:val="21"/>
                <w:highlight w:val="none"/>
              </w:rPr>
            </w:pPr>
          </w:p>
        </w:tc>
        <w:tc>
          <w:tcPr>
            <w:tcW w:w="1502" w:type="dxa"/>
            <w:vMerge w:val="continue"/>
            <w:noWrap w:val="0"/>
            <w:vAlign w:val="top"/>
          </w:tcPr>
          <w:p>
            <w:pPr>
              <w:kinsoku/>
              <w:wordWrap/>
              <w:overflowPunct/>
              <w:topLinePunct w:val="0"/>
              <w:bidi w:val="0"/>
              <w:spacing w:line="360" w:lineRule="auto"/>
              <w:rPr>
                <w:rFonts w:hint="eastAsia" w:ascii="宋体" w:hAnsi="宋体" w:eastAsia="宋体" w:cs="宋体"/>
                <w:color w:val="auto"/>
                <w:sz w:val="22"/>
                <w:szCs w:val="21"/>
                <w:highlight w:val="none"/>
              </w:rPr>
            </w:pPr>
          </w:p>
        </w:tc>
        <w:tc>
          <w:tcPr>
            <w:tcW w:w="3028" w:type="dxa"/>
            <w:gridSpan w:val="3"/>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负 债 ：     万元</w:t>
            </w:r>
          </w:p>
        </w:tc>
        <w:tc>
          <w:tcPr>
            <w:tcW w:w="3107" w:type="dxa"/>
            <w:gridSpan w:val="4"/>
            <w:vMerge w:val="continue"/>
            <w:noWrap w:val="0"/>
            <w:vAlign w:val="top"/>
          </w:tcPr>
          <w:p>
            <w:pPr>
              <w:kinsoku/>
              <w:wordWrap/>
              <w:overflowPunct/>
              <w:topLinePunct w:val="0"/>
              <w:bidi w:val="0"/>
              <w:spacing w:line="360" w:lineRule="auto"/>
              <w:rPr>
                <w:rFonts w:hint="eastAsia" w:ascii="宋体" w:hAnsi="宋体" w:eastAsia="宋体" w:cs="宋体"/>
                <w:color w:val="auto"/>
                <w:sz w:val="22"/>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7" w:hRule="atLeast"/>
        </w:trPr>
        <w:tc>
          <w:tcPr>
            <w:tcW w:w="1532" w:type="dxa"/>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p>
        </w:tc>
        <w:tc>
          <w:tcPr>
            <w:tcW w:w="1502" w:type="dxa"/>
            <w:noWrap w:val="0"/>
            <w:vAlign w:val="top"/>
          </w:tcPr>
          <w:p>
            <w:pPr>
              <w:kinsoku/>
              <w:wordWrap/>
              <w:overflowPunct/>
              <w:topLinePunct w:val="0"/>
              <w:bidi w:val="0"/>
              <w:spacing w:line="360" w:lineRule="auto"/>
              <w:rPr>
                <w:rFonts w:hint="eastAsia" w:ascii="宋体" w:hAnsi="宋体" w:eastAsia="宋体" w:cs="宋体"/>
                <w:bCs/>
                <w:color w:val="auto"/>
                <w:szCs w:val="24"/>
                <w:highlight w:val="none"/>
              </w:rPr>
            </w:pPr>
          </w:p>
        </w:tc>
        <w:tc>
          <w:tcPr>
            <w:tcW w:w="1469" w:type="dxa"/>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主营收入</w:t>
            </w:r>
          </w:p>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（万元）</w:t>
            </w:r>
          </w:p>
        </w:tc>
        <w:tc>
          <w:tcPr>
            <w:tcW w:w="1559" w:type="dxa"/>
            <w:gridSpan w:val="2"/>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收入总额</w:t>
            </w:r>
          </w:p>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（万元）</w:t>
            </w:r>
          </w:p>
        </w:tc>
        <w:tc>
          <w:tcPr>
            <w:tcW w:w="1557" w:type="dxa"/>
            <w:gridSpan w:val="3"/>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利润总额</w:t>
            </w:r>
          </w:p>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（万元）</w:t>
            </w:r>
          </w:p>
        </w:tc>
        <w:tc>
          <w:tcPr>
            <w:tcW w:w="1550" w:type="dxa"/>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净利润</w:t>
            </w:r>
          </w:p>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7" w:hRule="atLeast"/>
        </w:trPr>
        <w:tc>
          <w:tcPr>
            <w:tcW w:w="1532" w:type="dxa"/>
            <w:vMerge w:val="restart"/>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财务状况</w:t>
            </w:r>
          </w:p>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（最近两年）</w:t>
            </w:r>
          </w:p>
        </w:tc>
        <w:tc>
          <w:tcPr>
            <w:tcW w:w="1502" w:type="dxa"/>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 xml:space="preserve">     年</w:t>
            </w:r>
          </w:p>
        </w:tc>
        <w:tc>
          <w:tcPr>
            <w:tcW w:w="1469" w:type="dxa"/>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p>
        </w:tc>
        <w:tc>
          <w:tcPr>
            <w:tcW w:w="1559" w:type="dxa"/>
            <w:gridSpan w:val="2"/>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p>
        </w:tc>
        <w:tc>
          <w:tcPr>
            <w:tcW w:w="1557" w:type="dxa"/>
            <w:gridSpan w:val="3"/>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p>
        </w:tc>
        <w:tc>
          <w:tcPr>
            <w:tcW w:w="1550" w:type="dxa"/>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8" w:hRule="atLeast"/>
        </w:trPr>
        <w:tc>
          <w:tcPr>
            <w:tcW w:w="1532" w:type="dxa"/>
            <w:vMerge w:val="continue"/>
            <w:noWrap w:val="0"/>
            <w:vAlign w:val="top"/>
          </w:tcPr>
          <w:p>
            <w:pPr>
              <w:kinsoku/>
              <w:wordWrap/>
              <w:overflowPunct/>
              <w:topLinePunct w:val="0"/>
              <w:bidi w:val="0"/>
              <w:spacing w:line="360" w:lineRule="auto"/>
              <w:rPr>
                <w:rFonts w:hint="eastAsia" w:ascii="宋体" w:hAnsi="宋体" w:eastAsia="宋体" w:cs="宋体"/>
                <w:color w:val="auto"/>
                <w:sz w:val="22"/>
                <w:szCs w:val="21"/>
                <w:highlight w:val="none"/>
              </w:rPr>
            </w:pPr>
          </w:p>
        </w:tc>
        <w:tc>
          <w:tcPr>
            <w:tcW w:w="1502" w:type="dxa"/>
            <w:noWrap w:val="0"/>
            <w:vAlign w:val="center"/>
          </w:tcPr>
          <w:p>
            <w:pPr>
              <w:kinsoku/>
              <w:wordWrap/>
              <w:overflowPunct/>
              <w:topLinePunct w:val="0"/>
              <w:bidi w:val="0"/>
              <w:spacing w:line="360" w:lineRule="auto"/>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 xml:space="preserve">     年</w:t>
            </w:r>
          </w:p>
        </w:tc>
        <w:tc>
          <w:tcPr>
            <w:tcW w:w="1469" w:type="dxa"/>
            <w:noWrap w:val="0"/>
            <w:vAlign w:val="top"/>
          </w:tcPr>
          <w:p>
            <w:pPr>
              <w:kinsoku/>
              <w:wordWrap/>
              <w:overflowPunct/>
              <w:topLinePunct w:val="0"/>
              <w:bidi w:val="0"/>
              <w:spacing w:line="360" w:lineRule="auto"/>
              <w:rPr>
                <w:rFonts w:hint="eastAsia" w:ascii="宋体" w:hAnsi="宋体" w:eastAsia="宋体" w:cs="宋体"/>
                <w:bCs/>
                <w:color w:val="auto"/>
                <w:szCs w:val="24"/>
                <w:highlight w:val="none"/>
              </w:rPr>
            </w:pPr>
          </w:p>
        </w:tc>
        <w:tc>
          <w:tcPr>
            <w:tcW w:w="1559" w:type="dxa"/>
            <w:gridSpan w:val="2"/>
            <w:noWrap w:val="0"/>
            <w:vAlign w:val="top"/>
          </w:tcPr>
          <w:p>
            <w:pPr>
              <w:kinsoku/>
              <w:wordWrap/>
              <w:overflowPunct/>
              <w:topLinePunct w:val="0"/>
              <w:bidi w:val="0"/>
              <w:spacing w:line="360" w:lineRule="auto"/>
              <w:rPr>
                <w:rFonts w:hint="eastAsia" w:ascii="宋体" w:hAnsi="宋体" w:eastAsia="宋体" w:cs="宋体"/>
                <w:bCs/>
                <w:color w:val="auto"/>
                <w:szCs w:val="24"/>
                <w:highlight w:val="none"/>
              </w:rPr>
            </w:pPr>
          </w:p>
        </w:tc>
        <w:tc>
          <w:tcPr>
            <w:tcW w:w="1557" w:type="dxa"/>
            <w:gridSpan w:val="3"/>
            <w:noWrap w:val="0"/>
            <w:vAlign w:val="top"/>
          </w:tcPr>
          <w:p>
            <w:pPr>
              <w:kinsoku/>
              <w:wordWrap/>
              <w:overflowPunct/>
              <w:topLinePunct w:val="0"/>
              <w:bidi w:val="0"/>
              <w:spacing w:line="360" w:lineRule="auto"/>
              <w:rPr>
                <w:rFonts w:hint="eastAsia" w:ascii="宋体" w:hAnsi="宋体" w:eastAsia="宋体" w:cs="宋体"/>
                <w:bCs/>
                <w:color w:val="auto"/>
                <w:szCs w:val="24"/>
                <w:highlight w:val="none"/>
              </w:rPr>
            </w:pPr>
          </w:p>
        </w:tc>
        <w:tc>
          <w:tcPr>
            <w:tcW w:w="1550" w:type="dxa"/>
            <w:noWrap w:val="0"/>
            <w:vAlign w:val="top"/>
          </w:tcPr>
          <w:p>
            <w:pPr>
              <w:kinsoku/>
              <w:wordWrap/>
              <w:overflowPunct/>
              <w:topLinePunct w:val="0"/>
              <w:bidi w:val="0"/>
              <w:spacing w:line="360" w:lineRule="auto"/>
              <w:rPr>
                <w:rFonts w:hint="eastAsia" w:ascii="宋体" w:hAnsi="宋体" w:eastAsia="宋体" w:cs="宋体"/>
                <w:bCs/>
                <w:color w:val="auto"/>
                <w:szCs w:val="24"/>
                <w:highlight w:val="none"/>
              </w:rPr>
            </w:pPr>
          </w:p>
        </w:tc>
      </w:tr>
    </w:tbl>
    <w:p>
      <w:pPr>
        <w:pStyle w:val="40"/>
        <w:kinsoku/>
        <w:wordWrap/>
        <w:overflowPunct/>
        <w:topLinePunct w:val="0"/>
        <w:bidi w:val="0"/>
        <w:spacing w:line="360" w:lineRule="auto"/>
        <w:ind w:firstLine="480"/>
        <w:rPr>
          <w:rFonts w:hint="eastAsia" w:ascii="宋体" w:hAnsi="宋体" w:eastAsia="宋体" w:cs="宋体"/>
          <w:color w:val="auto"/>
          <w:sz w:val="24"/>
          <w:szCs w:val="18"/>
          <w:highlight w:val="none"/>
        </w:rPr>
      </w:pPr>
      <w:r>
        <w:rPr>
          <w:rFonts w:hint="eastAsia" w:ascii="宋体" w:hAnsi="宋体" w:eastAsia="宋体" w:cs="宋体"/>
          <w:color w:val="auto"/>
          <w:sz w:val="24"/>
          <w:szCs w:val="18"/>
          <w:highlight w:val="none"/>
        </w:rPr>
        <w:t>我们保证上述声明中的资料和数据是真实的、正确的，我们同意如贵方要求，可以出示相关证明文件。</w:t>
      </w:r>
    </w:p>
    <w:p>
      <w:pPr>
        <w:kinsoku/>
        <w:wordWrap/>
        <w:overflowPunct/>
        <w:topLinePunct w:val="0"/>
        <w:bidi w:val="0"/>
        <w:spacing w:line="360" w:lineRule="auto"/>
        <w:ind w:firstLine="120" w:firstLineChars="50"/>
        <w:rPr>
          <w:rStyle w:val="39"/>
          <w:rFonts w:hint="eastAsia" w:ascii="宋体" w:hAnsi="宋体" w:eastAsia="宋体" w:cs="宋体"/>
          <w:b w:val="0"/>
          <w:color w:val="auto"/>
          <w:sz w:val="24"/>
          <w:szCs w:val="24"/>
          <w:highlight w:val="none"/>
        </w:rPr>
      </w:pPr>
    </w:p>
    <w:p>
      <w:pPr>
        <w:kinsoku/>
        <w:wordWrap/>
        <w:overflowPunct/>
        <w:topLinePunct w:val="0"/>
        <w:bidi w:val="0"/>
        <w:spacing w:line="360" w:lineRule="auto"/>
        <w:ind w:firstLine="120" w:firstLineChars="50"/>
        <w:rPr>
          <w:rStyle w:val="39"/>
          <w:rFonts w:hint="eastAsia" w:ascii="宋体" w:hAnsi="宋体" w:eastAsia="宋体" w:cs="宋体"/>
          <w:b w:val="0"/>
          <w:color w:val="auto"/>
          <w:sz w:val="24"/>
          <w:szCs w:val="24"/>
          <w:highlight w:val="none"/>
        </w:rPr>
      </w:pPr>
      <w:r>
        <w:rPr>
          <w:rStyle w:val="39"/>
          <w:rFonts w:hint="eastAsia" w:ascii="宋体" w:hAnsi="宋体" w:eastAsia="宋体" w:cs="宋体"/>
          <w:b w:val="0"/>
          <w:color w:val="auto"/>
          <w:sz w:val="24"/>
          <w:szCs w:val="24"/>
          <w:highlight w:val="none"/>
        </w:rPr>
        <w:t xml:space="preserve">法定代表人或授权代表（签章或签字）: </w:t>
      </w:r>
      <w:r>
        <w:rPr>
          <w:rStyle w:val="39"/>
          <w:rFonts w:hint="eastAsia" w:ascii="宋体" w:hAnsi="宋体" w:eastAsia="宋体" w:cs="宋体"/>
          <w:b w:val="0"/>
          <w:color w:val="auto"/>
          <w:sz w:val="24"/>
          <w:szCs w:val="24"/>
          <w:highlight w:val="none"/>
          <w:u w:val="single"/>
        </w:rPr>
        <w:t xml:space="preserve">              </w:t>
      </w:r>
    </w:p>
    <w:p>
      <w:pPr>
        <w:kinsoku/>
        <w:wordWrap/>
        <w:overflowPunct/>
        <w:topLinePunct w:val="0"/>
        <w:bidi w:val="0"/>
        <w:spacing w:line="360" w:lineRule="auto"/>
        <w:ind w:firstLine="120" w:firstLineChars="50"/>
        <w:rPr>
          <w:rStyle w:val="39"/>
          <w:rFonts w:hint="eastAsia" w:ascii="宋体" w:hAnsi="宋体" w:eastAsia="宋体" w:cs="宋体"/>
          <w:b w:val="0"/>
          <w:color w:val="auto"/>
          <w:sz w:val="24"/>
          <w:szCs w:val="24"/>
          <w:highlight w:val="none"/>
          <w:u w:val="single"/>
        </w:rPr>
      </w:pPr>
      <w:r>
        <w:rPr>
          <w:rStyle w:val="39"/>
          <w:rFonts w:hint="eastAsia" w:ascii="宋体" w:hAnsi="宋体" w:eastAsia="宋体" w:cs="宋体"/>
          <w:b w:val="0"/>
          <w:color w:val="auto"/>
          <w:sz w:val="24"/>
          <w:szCs w:val="24"/>
          <w:highlight w:val="none"/>
        </w:rPr>
        <w:t>磋商供应商名称（签章）：</w:t>
      </w:r>
      <w:r>
        <w:rPr>
          <w:rStyle w:val="39"/>
          <w:rFonts w:hint="eastAsia" w:ascii="宋体" w:hAnsi="宋体" w:eastAsia="宋体" w:cs="宋体"/>
          <w:b w:val="0"/>
          <w:color w:val="auto"/>
          <w:sz w:val="24"/>
          <w:szCs w:val="24"/>
          <w:highlight w:val="none"/>
          <w:u w:val="single"/>
        </w:rPr>
        <w:t xml:space="preserve">               </w:t>
      </w:r>
    </w:p>
    <w:p>
      <w:pPr>
        <w:kinsoku/>
        <w:wordWrap/>
        <w:overflowPunct/>
        <w:topLinePunct w:val="0"/>
        <w:bidi w:val="0"/>
        <w:spacing w:line="360" w:lineRule="auto"/>
        <w:ind w:firstLine="120" w:firstLineChars="50"/>
        <w:rPr>
          <w:rFonts w:hint="eastAsia" w:ascii="宋体" w:hAnsi="宋体" w:eastAsia="宋体" w:cs="宋体"/>
          <w:i/>
          <w:color w:val="auto"/>
          <w:sz w:val="22"/>
          <w:szCs w:val="21"/>
          <w:highlight w:val="none"/>
          <w:u w:val="single"/>
        </w:rPr>
      </w:pPr>
      <w:r>
        <w:rPr>
          <w:rStyle w:val="39"/>
          <w:rFonts w:hint="eastAsia" w:ascii="宋体" w:hAnsi="宋体" w:eastAsia="宋体" w:cs="宋体"/>
          <w:b w:val="0"/>
          <w:color w:val="auto"/>
          <w:sz w:val="24"/>
          <w:szCs w:val="24"/>
          <w:highlight w:val="none"/>
        </w:rPr>
        <w:t>日期：</w:t>
      </w:r>
      <w:r>
        <w:rPr>
          <w:rStyle w:val="39"/>
          <w:rFonts w:hint="eastAsia" w:ascii="宋体" w:hAnsi="宋体" w:eastAsia="宋体" w:cs="宋体"/>
          <w:b w:val="0"/>
          <w:color w:val="auto"/>
          <w:sz w:val="24"/>
          <w:szCs w:val="24"/>
          <w:highlight w:val="none"/>
          <w:u w:val="single"/>
        </w:rPr>
        <w:t xml:space="preserve">      </w:t>
      </w:r>
      <w:r>
        <w:rPr>
          <w:rStyle w:val="39"/>
          <w:rFonts w:hint="eastAsia" w:ascii="宋体" w:hAnsi="宋体" w:eastAsia="宋体" w:cs="宋体"/>
          <w:b w:val="0"/>
          <w:color w:val="auto"/>
          <w:sz w:val="24"/>
          <w:szCs w:val="24"/>
          <w:highlight w:val="none"/>
        </w:rPr>
        <w:t>年</w:t>
      </w:r>
      <w:r>
        <w:rPr>
          <w:rStyle w:val="39"/>
          <w:rFonts w:hint="eastAsia" w:ascii="宋体" w:hAnsi="宋体" w:eastAsia="宋体" w:cs="宋体"/>
          <w:b w:val="0"/>
          <w:color w:val="auto"/>
          <w:sz w:val="24"/>
          <w:szCs w:val="24"/>
          <w:highlight w:val="none"/>
          <w:u w:val="single"/>
        </w:rPr>
        <w:t xml:space="preserve">     </w:t>
      </w:r>
      <w:r>
        <w:rPr>
          <w:rStyle w:val="39"/>
          <w:rFonts w:hint="eastAsia" w:ascii="宋体" w:hAnsi="宋体" w:eastAsia="宋体" w:cs="宋体"/>
          <w:b w:val="0"/>
          <w:color w:val="auto"/>
          <w:sz w:val="24"/>
          <w:szCs w:val="24"/>
          <w:highlight w:val="none"/>
        </w:rPr>
        <w:t>月</w:t>
      </w:r>
      <w:r>
        <w:rPr>
          <w:rStyle w:val="39"/>
          <w:rFonts w:hint="eastAsia" w:ascii="宋体" w:hAnsi="宋体" w:eastAsia="宋体" w:cs="宋体"/>
          <w:b w:val="0"/>
          <w:color w:val="auto"/>
          <w:sz w:val="24"/>
          <w:szCs w:val="24"/>
          <w:highlight w:val="none"/>
          <w:u w:val="single"/>
        </w:rPr>
        <w:t xml:space="preserve">     </w:t>
      </w:r>
      <w:r>
        <w:rPr>
          <w:rStyle w:val="39"/>
          <w:rFonts w:hint="eastAsia" w:ascii="宋体" w:hAnsi="宋体" w:eastAsia="宋体" w:cs="宋体"/>
          <w:b w:val="0"/>
          <w:color w:val="auto"/>
          <w:sz w:val="24"/>
          <w:szCs w:val="24"/>
          <w:highlight w:val="none"/>
        </w:rPr>
        <w:t>日</w:t>
      </w:r>
      <w:bookmarkEnd w:id="158"/>
      <w:bookmarkStart w:id="173" w:name="_Hlt26609389"/>
      <w:bookmarkEnd w:id="173"/>
      <w:bookmarkStart w:id="174" w:name="_Hlt26782999"/>
      <w:bookmarkEnd w:id="174"/>
      <w:bookmarkStart w:id="175" w:name="_格式2__法定代表人授权书"/>
      <w:bookmarkEnd w:id="175"/>
      <w:bookmarkStart w:id="176" w:name="_Hlt26955056"/>
      <w:bookmarkEnd w:id="176"/>
      <w:bookmarkStart w:id="177" w:name="_Hlt13044403"/>
      <w:bookmarkEnd w:id="177"/>
      <w:bookmarkStart w:id="178" w:name="_Hlt26671372"/>
      <w:bookmarkEnd w:id="178"/>
      <w:bookmarkStart w:id="179" w:name="_Hlt194220997"/>
      <w:bookmarkEnd w:id="179"/>
      <w:bookmarkStart w:id="180" w:name="_Hlt26671374"/>
      <w:bookmarkEnd w:id="180"/>
      <w:bookmarkStart w:id="181" w:name="_Hlt26580838"/>
      <w:bookmarkEnd w:id="181"/>
      <w:bookmarkStart w:id="182" w:name="_Hlt24879081"/>
      <w:bookmarkEnd w:id="182"/>
      <w:bookmarkStart w:id="183" w:name="_Hlt26955064"/>
      <w:bookmarkEnd w:id="183"/>
      <w:bookmarkStart w:id="184" w:name="_Hlt26609391"/>
      <w:bookmarkEnd w:id="184"/>
      <w:bookmarkStart w:id="185" w:name="_Hlt26955066"/>
      <w:bookmarkEnd w:id="185"/>
      <w:bookmarkStart w:id="186" w:name="_Hlt26671343"/>
      <w:bookmarkEnd w:id="186"/>
      <w:bookmarkStart w:id="187" w:name="_Hlt26955054"/>
      <w:bookmarkEnd w:id="187"/>
    </w:p>
    <w:p>
      <w:pPr>
        <w:kinsoku/>
        <w:wordWrap/>
        <w:overflowPunct/>
        <w:topLinePunct w:val="0"/>
        <w:bidi w:val="0"/>
        <w:spacing w:line="360" w:lineRule="auto"/>
        <w:rPr>
          <w:rFonts w:hint="eastAsia" w:ascii="宋体" w:hAnsi="宋体" w:eastAsia="宋体" w:cs="宋体"/>
          <w:color w:val="auto"/>
          <w:highlight w:val="none"/>
        </w:rPr>
      </w:pPr>
    </w:p>
    <w:p>
      <w:pPr>
        <w:pStyle w:val="9"/>
        <w:kinsoku/>
        <w:wordWrap/>
        <w:overflowPunct/>
        <w:topLinePunct w:val="0"/>
        <w:bidi w:val="0"/>
        <w:spacing w:line="360" w:lineRule="auto"/>
        <w:rPr>
          <w:rFonts w:hint="eastAsia" w:ascii="宋体" w:hAnsi="宋体" w:eastAsia="宋体" w:cs="宋体"/>
          <w:color w:val="auto"/>
          <w:kern w:val="0"/>
          <w:highlight w:val="none"/>
          <w:lang w:eastAsia="zh-CN"/>
        </w:rPr>
      </w:pPr>
      <w:bookmarkStart w:id="188" w:name="_Toc5198"/>
      <w:bookmarkStart w:id="189" w:name="_Toc3831"/>
      <w:r>
        <w:rPr>
          <w:rFonts w:hint="eastAsia" w:ascii="宋体" w:hAnsi="宋体" w:eastAsia="宋体" w:cs="宋体"/>
          <w:color w:val="auto"/>
          <w:kern w:val="0"/>
          <w:highlight w:val="none"/>
        </w:rPr>
        <w:t>附件</w:t>
      </w:r>
      <w:r>
        <w:rPr>
          <w:rFonts w:hint="eastAsia" w:ascii="宋体" w:hAnsi="宋体" w:eastAsia="宋体" w:cs="宋体"/>
          <w:color w:val="auto"/>
          <w:kern w:val="0"/>
          <w:highlight w:val="none"/>
          <w:lang w:val="en-US" w:eastAsia="zh-CN"/>
        </w:rPr>
        <w:t>六</w:t>
      </w:r>
      <w:bookmarkEnd w:id="188"/>
      <w:bookmarkEnd w:id="189"/>
    </w:p>
    <w:p>
      <w:pPr>
        <w:kinsoku/>
        <w:wordWrap/>
        <w:overflowPunct/>
        <w:topLinePunct w:val="0"/>
        <w:bidi w:val="0"/>
        <w:snapToGrid w:val="0"/>
        <w:spacing w:line="360" w:lineRule="auto"/>
        <w:jc w:val="center"/>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lang w:val="en-US" w:eastAsia="zh-CN"/>
        </w:rPr>
        <w:t>各项承诺</w:t>
      </w:r>
    </w:p>
    <w:p>
      <w:pPr>
        <w:pStyle w:val="38"/>
        <w:kinsoku/>
        <w:wordWrap/>
        <w:overflowPunct/>
        <w:topLinePunct w:val="0"/>
        <w:autoSpaceDE w:val="0"/>
        <w:autoSpaceDN w:val="0"/>
        <w:bidi w:val="0"/>
        <w:adjustRightInd w:val="0"/>
        <w:spacing w:line="360" w:lineRule="auto"/>
        <w:ind w:firstLine="140" w:firstLineChars="50"/>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格式自拟</w:t>
      </w:r>
      <w:r>
        <w:rPr>
          <w:rFonts w:hint="eastAsia" w:ascii="宋体" w:hAnsi="宋体" w:eastAsia="宋体" w:cs="宋体"/>
          <w:color w:val="auto"/>
          <w:highlight w:val="none"/>
          <w:lang w:eastAsia="zh-CN"/>
        </w:rPr>
        <w:t>）</w:t>
      </w:r>
    </w:p>
    <w:p>
      <w:pPr>
        <w:pStyle w:val="38"/>
        <w:kinsoku/>
        <w:wordWrap/>
        <w:overflowPunct/>
        <w:topLinePunct w:val="0"/>
        <w:autoSpaceDE w:val="0"/>
        <w:autoSpaceDN w:val="0"/>
        <w:bidi w:val="0"/>
        <w:adjustRightInd w:val="0"/>
        <w:spacing w:line="360" w:lineRule="auto"/>
        <w:ind w:firstLine="140" w:firstLineChars="50"/>
        <w:jc w:val="left"/>
        <w:rPr>
          <w:rFonts w:hint="eastAsia" w:ascii="宋体" w:hAnsi="宋体" w:eastAsia="宋体" w:cs="宋体"/>
          <w:color w:val="auto"/>
          <w:highlight w:val="none"/>
        </w:rPr>
      </w:pPr>
    </w:p>
    <w:p>
      <w:pPr>
        <w:pStyle w:val="38"/>
        <w:kinsoku/>
        <w:wordWrap/>
        <w:overflowPunct/>
        <w:topLinePunct w:val="0"/>
        <w:autoSpaceDE w:val="0"/>
        <w:autoSpaceDN w:val="0"/>
        <w:bidi w:val="0"/>
        <w:adjustRightInd w:val="0"/>
        <w:spacing w:line="360" w:lineRule="auto"/>
        <w:ind w:firstLine="140" w:firstLineChars="50"/>
        <w:jc w:val="left"/>
        <w:rPr>
          <w:rFonts w:hint="eastAsia" w:ascii="宋体" w:hAnsi="宋体" w:eastAsia="宋体" w:cs="宋体"/>
          <w:color w:val="auto"/>
          <w:highlight w:val="none"/>
        </w:rPr>
      </w:pPr>
    </w:p>
    <w:p>
      <w:pPr>
        <w:pStyle w:val="38"/>
        <w:kinsoku/>
        <w:wordWrap/>
        <w:overflowPunct/>
        <w:topLinePunct w:val="0"/>
        <w:autoSpaceDE w:val="0"/>
        <w:autoSpaceDN w:val="0"/>
        <w:bidi w:val="0"/>
        <w:adjustRightInd w:val="0"/>
        <w:spacing w:line="360" w:lineRule="auto"/>
        <w:ind w:firstLine="140" w:firstLineChars="50"/>
        <w:jc w:val="left"/>
        <w:rPr>
          <w:rFonts w:hint="eastAsia" w:ascii="宋体" w:hAnsi="宋体" w:eastAsia="宋体" w:cs="宋体"/>
          <w:color w:val="auto"/>
          <w:highlight w:val="none"/>
        </w:rPr>
      </w:pPr>
    </w:p>
    <w:p>
      <w:pPr>
        <w:pStyle w:val="38"/>
        <w:kinsoku/>
        <w:wordWrap/>
        <w:overflowPunct/>
        <w:topLinePunct w:val="0"/>
        <w:autoSpaceDE w:val="0"/>
        <w:autoSpaceDN w:val="0"/>
        <w:bidi w:val="0"/>
        <w:adjustRightInd w:val="0"/>
        <w:spacing w:line="360" w:lineRule="auto"/>
        <w:ind w:firstLine="140" w:firstLineChars="50"/>
        <w:jc w:val="left"/>
        <w:rPr>
          <w:rFonts w:hint="eastAsia" w:ascii="宋体" w:hAnsi="宋体" w:eastAsia="宋体" w:cs="宋体"/>
          <w:color w:val="auto"/>
          <w:highlight w:val="none"/>
        </w:rPr>
      </w:pPr>
    </w:p>
    <w:p>
      <w:pPr>
        <w:pStyle w:val="38"/>
        <w:kinsoku/>
        <w:wordWrap/>
        <w:overflowPunct/>
        <w:topLinePunct w:val="0"/>
        <w:autoSpaceDE w:val="0"/>
        <w:autoSpaceDN w:val="0"/>
        <w:bidi w:val="0"/>
        <w:adjustRightInd w:val="0"/>
        <w:spacing w:line="360" w:lineRule="auto"/>
        <w:ind w:firstLine="140" w:firstLineChars="50"/>
        <w:jc w:val="left"/>
        <w:rPr>
          <w:rFonts w:hint="eastAsia" w:ascii="宋体" w:hAnsi="宋体" w:eastAsia="宋体" w:cs="宋体"/>
          <w:color w:val="auto"/>
          <w:highlight w:val="none"/>
        </w:rPr>
      </w:pPr>
    </w:p>
    <w:p>
      <w:pPr>
        <w:pStyle w:val="38"/>
        <w:kinsoku/>
        <w:wordWrap/>
        <w:overflowPunct/>
        <w:topLinePunct w:val="0"/>
        <w:autoSpaceDE w:val="0"/>
        <w:autoSpaceDN w:val="0"/>
        <w:bidi w:val="0"/>
        <w:adjustRightInd w:val="0"/>
        <w:spacing w:line="360" w:lineRule="auto"/>
        <w:ind w:firstLine="140" w:firstLineChars="50"/>
        <w:jc w:val="left"/>
        <w:rPr>
          <w:rFonts w:hint="eastAsia" w:ascii="宋体" w:hAnsi="宋体" w:eastAsia="宋体" w:cs="宋体"/>
          <w:color w:val="auto"/>
          <w:highlight w:val="none"/>
        </w:rPr>
      </w:pPr>
    </w:p>
    <w:p>
      <w:pPr>
        <w:pStyle w:val="38"/>
        <w:kinsoku/>
        <w:wordWrap/>
        <w:overflowPunct/>
        <w:topLinePunct w:val="0"/>
        <w:autoSpaceDE w:val="0"/>
        <w:autoSpaceDN w:val="0"/>
        <w:bidi w:val="0"/>
        <w:adjustRightInd w:val="0"/>
        <w:spacing w:line="360" w:lineRule="auto"/>
        <w:ind w:firstLine="140" w:firstLineChars="50"/>
        <w:jc w:val="left"/>
        <w:rPr>
          <w:rFonts w:hint="eastAsia" w:ascii="宋体" w:hAnsi="宋体" w:eastAsia="宋体" w:cs="宋体"/>
          <w:color w:val="auto"/>
          <w:highlight w:val="none"/>
        </w:rPr>
      </w:pPr>
    </w:p>
    <w:p>
      <w:pPr>
        <w:pStyle w:val="38"/>
        <w:kinsoku/>
        <w:wordWrap/>
        <w:overflowPunct/>
        <w:topLinePunct w:val="0"/>
        <w:autoSpaceDE w:val="0"/>
        <w:autoSpaceDN w:val="0"/>
        <w:bidi w:val="0"/>
        <w:adjustRightInd w:val="0"/>
        <w:spacing w:line="360" w:lineRule="auto"/>
        <w:ind w:firstLine="140" w:firstLineChars="50"/>
        <w:jc w:val="left"/>
        <w:rPr>
          <w:rFonts w:hint="eastAsia" w:ascii="宋体" w:hAnsi="宋体" w:eastAsia="宋体" w:cs="宋体"/>
          <w:color w:val="auto"/>
          <w:highlight w:val="none"/>
        </w:rPr>
      </w:pPr>
    </w:p>
    <w:p>
      <w:pPr>
        <w:pStyle w:val="38"/>
        <w:kinsoku/>
        <w:wordWrap/>
        <w:overflowPunct/>
        <w:topLinePunct w:val="0"/>
        <w:autoSpaceDE w:val="0"/>
        <w:autoSpaceDN w:val="0"/>
        <w:bidi w:val="0"/>
        <w:adjustRightInd w:val="0"/>
        <w:spacing w:line="360" w:lineRule="auto"/>
        <w:ind w:firstLine="140" w:firstLineChars="50"/>
        <w:jc w:val="left"/>
        <w:rPr>
          <w:rFonts w:hint="eastAsia" w:ascii="宋体" w:hAnsi="宋体" w:eastAsia="宋体" w:cs="宋体"/>
          <w:color w:val="auto"/>
          <w:highlight w:val="none"/>
        </w:rPr>
      </w:pPr>
    </w:p>
    <w:p>
      <w:pPr>
        <w:pStyle w:val="38"/>
        <w:kinsoku/>
        <w:wordWrap/>
        <w:overflowPunct/>
        <w:topLinePunct w:val="0"/>
        <w:autoSpaceDE w:val="0"/>
        <w:autoSpaceDN w:val="0"/>
        <w:bidi w:val="0"/>
        <w:adjustRightInd w:val="0"/>
        <w:spacing w:line="360" w:lineRule="auto"/>
        <w:ind w:firstLine="140" w:firstLineChars="50"/>
        <w:jc w:val="left"/>
        <w:rPr>
          <w:rFonts w:hint="eastAsia" w:ascii="宋体" w:hAnsi="宋体" w:eastAsia="宋体" w:cs="宋体"/>
          <w:color w:val="auto"/>
          <w:highlight w:val="none"/>
        </w:rPr>
      </w:pPr>
    </w:p>
    <w:p>
      <w:pPr>
        <w:pStyle w:val="38"/>
        <w:kinsoku/>
        <w:wordWrap/>
        <w:overflowPunct/>
        <w:topLinePunct w:val="0"/>
        <w:autoSpaceDE w:val="0"/>
        <w:autoSpaceDN w:val="0"/>
        <w:bidi w:val="0"/>
        <w:adjustRightInd w:val="0"/>
        <w:spacing w:line="360" w:lineRule="auto"/>
        <w:ind w:firstLine="140" w:firstLineChars="50"/>
        <w:jc w:val="left"/>
        <w:rPr>
          <w:rFonts w:hint="eastAsia" w:ascii="宋体" w:hAnsi="宋体" w:eastAsia="宋体" w:cs="宋体"/>
          <w:color w:val="auto"/>
          <w:highlight w:val="none"/>
        </w:rPr>
      </w:pPr>
    </w:p>
    <w:p>
      <w:pPr>
        <w:pStyle w:val="38"/>
        <w:kinsoku/>
        <w:wordWrap/>
        <w:overflowPunct/>
        <w:topLinePunct w:val="0"/>
        <w:autoSpaceDE w:val="0"/>
        <w:autoSpaceDN w:val="0"/>
        <w:bidi w:val="0"/>
        <w:adjustRightInd w:val="0"/>
        <w:spacing w:line="360" w:lineRule="auto"/>
        <w:ind w:firstLine="140" w:firstLineChars="50"/>
        <w:jc w:val="left"/>
        <w:rPr>
          <w:rFonts w:hint="eastAsia" w:ascii="宋体" w:hAnsi="宋体" w:eastAsia="宋体" w:cs="宋体"/>
          <w:color w:val="auto"/>
          <w:highlight w:val="none"/>
        </w:rPr>
      </w:pPr>
    </w:p>
    <w:p>
      <w:pPr>
        <w:pStyle w:val="38"/>
        <w:kinsoku/>
        <w:wordWrap/>
        <w:overflowPunct/>
        <w:topLinePunct w:val="0"/>
        <w:autoSpaceDE w:val="0"/>
        <w:autoSpaceDN w:val="0"/>
        <w:bidi w:val="0"/>
        <w:adjustRightInd w:val="0"/>
        <w:spacing w:line="360" w:lineRule="auto"/>
        <w:ind w:firstLine="140" w:firstLineChars="50"/>
        <w:jc w:val="left"/>
        <w:rPr>
          <w:rFonts w:hint="eastAsia" w:ascii="宋体" w:hAnsi="宋体" w:eastAsia="宋体" w:cs="宋体"/>
          <w:color w:val="auto"/>
          <w:highlight w:val="none"/>
        </w:rPr>
      </w:pPr>
    </w:p>
    <w:p>
      <w:pPr>
        <w:pStyle w:val="38"/>
        <w:kinsoku/>
        <w:wordWrap/>
        <w:overflowPunct/>
        <w:topLinePunct w:val="0"/>
        <w:autoSpaceDE w:val="0"/>
        <w:autoSpaceDN w:val="0"/>
        <w:bidi w:val="0"/>
        <w:adjustRightInd w:val="0"/>
        <w:spacing w:line="360" w:lineRule="auto"/>
        <w:ind w:firstLine="140" w:firstLineChars="50"/>
        <w:jc w:val="left"/>
        <w:rPr>
          <w:rFonts w:hint="eastAsia" w:ascii="宋体" w:hAnsi="宋体" w:eastAsia="宋体" w:cs="宋体"/>
          <w:color w:val="auto"/>
          <w:highlight w:val="none"/>
        </w:rPr>
      </w:pPr>
    </w:p>
    <w:p>
      <w:pPr>
        <w:pStyle w:val="38"/>
        <w:kinsoku/>
        <w:wordWrap/>
        <w:overflowPunct/>
        <w:topLinePunct w:val="0"/>
        <w:autoSpaceDE w:val="0"/>
        <w:autoSpaceDN w:val="0"/>
        <w:bidi w:val="0"/>
        <w:adjustRightInd w:val="0"/>
        <w:spacing w:line="360" w:lineRule="auto"/>
        <w:ind w:firstLine="140" w:firstLineChars="50"/>
        <w:jc w:val="left"/>
        <w:rPr>
          <w:rFonts w:hint="eastAsia" w:ascii="宋体" w:hAnsi="宋体" w:eastAsia="宋体" w:cs="宋体"/>
          <w:color w:val="auto"/>
          <w:highlight w:val="none"/>
        </w:rPr>
      </w:pPr>
    </w:p>
    <w:p>
      <w:pPr>
        <w:pStyle w:val="38"/>
        <w:kinsoku/>
        <w:wordWrap/>
        <w:overflowPunct/>
        <w:topLinePunct w:val="0"/>
        <w:autoSpaceDE w:val="0"/>
        <w:autoSpaceDN w:val="0"/>
        <w:bidi w:val="0"/>
        <w:adjustRightInd w:val="0"/>
        <w:spacing w:line="360" w:lineRule="auto"/>
        <w:ind w:firstLine="140" w:firstLineChars="50"/>
        <w:jc w:val="left"/>
        <w:rPr>
          <w:rFonts w:hint="eastAsia" w:ascii="宋体" w:hAnsi="宋体" w:eastAsia="宋体" w:cs="宋体"/>
          <w:color w:val="auto"/>
          <w:highlight w:val="none"/>
        </w:rPr>
      </w:pPr>
    </w:p>
    <w:p>
      <w:pPr>
        <w:pStyle w:val="38"/>
        <w:kinsoku/>
        <w:wordWrap/>
        <w:overflowPunct/>
        <w:topLinePunct w:val="0"/>
        <w:autoSpaceDE w:val="0"/>
        <w:autoSpaceDN w:val="0"/>
        <w:bidi w:val="0"/>
        <w:adjustRightInd w:val="0"/>
        <w:spacing w:line="360" w:lineRule="auto"/>
        <w:ind w:firstLine="140" w:firstLineChars="50"/>
        <w:jc w:val="left"/>
        <w:rPr>
          <w:rFonts w:hint="eastAsia" w:ascii="宋体" w:hAnsi="宋体" w:eastAsia="宋体" w:cs="宋体"/>
          <w:color w:val="auto"/>
          <w:highlight w:val="none"/>
        </w:rPr>
      </w:pPr>
    </w:p>
    <w:p>
      <w:pPr>
        <w:pStyle w:val="38"/>
        <w:kinsoku/>
        <w:wordWrap/>
        <w:overflowPunct/>
        <w:topLinePunct w:val="0"/>
        <w:autoSpaceDE w:val="0"/>
        <w:autoSpaceDN w:val="0"/>
        <w:bidi w:val="0"/>
        <w:adjustRightInd w:val="0"/>
        <w:spacing w:line="360" w:lineRule="auto"/>
        <w:ind w:firstLine="140" w:firstLineChars="50"/>
        <w:jc w:val="left"/>
        <w:rPr>
          <w:rFonts w:hint="eastAsia" w:ascii="宋体" w:hAnsi="宋体" w:eastAsia="宋体" w:cs="宋体"/>
          <w:color w:val="auto"/>
          <w:highlight w:val="none"/>
        </w:rPr>
      </w:pPr>
    </w:p>
    <w:p>
      <w:pPr>
        <w:pStyle w:val="38"/>
        <w:kinsoku/>
        <w:wordWrap/>
        <w:overflowPunct/>
        <w:topLinePunct w:val="0"/>
        <w:autoSpaceDE w:val="0"/>
        <w:autoSpaceDN w:val="0"/>
        <w:bidi w:val="0"/>
        <w:adjustRightInd w:val="0"/>
        <w:spacing w:line="360" w:lineRule="auto"/>
        <w:jc w:val="left"/>
        <w:rPr>
          <w:rFonts w:hint="eastAsia" w:ascii="宋体" w:hAnsi="宋体" w:eastAsia="宋体" w:cs="宋体"/>
          <w:color w:val="auto"/>
          <w:highlight w:val="none"/>
        </w:rPr>
      </w:pPr>
    </w:p>
    <w:p>
      <w:pPr>
        <w:spacing w:line="500" w:lineRule="exact"/>
        <w:jc w:val="center"/>
        <w:rPr>
          <w:rFonts w:hint="eastAsia" w:ascii="宋体" w:hAnsi="宋体" w:eastAsia="宋体" w:cs="宋体"/>
          <w:b/>
          <w:bCs w:val="0"/>
          <w:color w:val="auto"/>
          <w:szCs w:val="28"/>
          <w:highlight w:val="none"/>
          <w:lang w:val="zh-CN"/>
        </w:rPr>
      </w:pPr>
      <w:r>
        <w:rPr>
          <w:rFonts w:hint="eastAsia" w:ascii="宋体" w:hAnsi="宋体" w:eastAsia="宋体" w:cs="宋体"/>
          <w:b/>
          <w:bCs w:val="0"/>
          <w:color w:val="auto"/>
          <w:sz w:val="34"/>
          <w:szCs w:val="28"/>
          <w:highlight w:val="none"/>
        </w:rPr>
        <w:t>拟投入的总监理工程师简历表</w:t>
      </w:r>
    </w:p>
    <w:p>
      <w:pPr>
        <w:spacing w:line="500" w:lineRule="exact"/>
        <w:rPr>
          <w:rFonts w:hint="eastAsia" w:ascii="宋体" w:hAnsi="宋体" w:eastAsia="宋体" w:cs="宋体"/>
          <w:color w:val="auto"/>
          <w:szCs w:val="28"/>
          <w:highlight w:val="none"/>
          <w:lang w:val="zh-CN"/>
        </w:rPr>
      </w:pPr>
      <w:bookmarkStart w:id="190" w:name="（项目名称）监理"/>
      <w:bookmarkEnd w:id="190"/>
      <w:r>
        <w:rPr>
          <w:rFonts w:hint="eastAsia" w:ascii="宋体" w:hAnsi="宋体" w:eastAsia="宋体" w:cs="宋体"/>
          <w:color w:val="auto"/>
          <w:szCs w:val="28"/>
          <w:highlight w:val="none"/>
          <w:lang w:val="zh-CN"/>
        </w:rPr>
        <w:t>项目名称：</w:t>
      </w:r>
    </w:p>
    <w:tbl>
      <w:tblPr>
        <w:tblStyle w:val="17"/>
        <w:tblW w:w="961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43"/>
        <w:gridCol w:w="342"/>
        <w:gridCol w:w="181"/>
        <w:gridCol w:w="820"/>
        <w:gridCol w:w="731"/>
        <w:gridCol w:w="612"/>
        <w:gridCol w:w="935"/>
        <w:gridCol w:w="1058"/>
        <w:gridCol w:w="401"/>
        <w:gridCol w:w="855"/>
        <w:gridCol w:w="675"/>
        <w:gridCol w:w="425"/>
        <w:gridCol w:w="123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jc w:val="center"/>
        </w:trPr>
        <w:tc>
          <w:tcPr>
            <w:tcW w:w="1866" w:type="dxa"/>
            <w:gridSpan w:val="3"/>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姓名</w:t>
            </w:r>
          </w:p>
        </w:tc>
        <w:tc>
          <w:tcPr>
            <w:tcW w:w="1551"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547" w:type="dxa"/>
            <w:gridSpan w:val="2"/>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性别</w:t>
            </w:r>
          </w:p>
        </w:tc>
        <w:tc>
          <w:tcPr>
            <w:tcW w:w="1459"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530" w:type="dxa"/>
            <w:gridSpan w:val="2"/>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年龄</w:t>
            </w:r>
          </w:p>
        </w:tc>
        <w:tc>
          <w:tcPr>
            <w:tcW w:w="1664"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jc w:val="center"/>
        </w:trPr>
        <w:tc>
          <w:tcPr>
            <w:tcW w:w="1866" w:type="dxa"/>
            <w:gridSpan w:val="3"/>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职称</w:t>
            </w:r>
          </w:p>
        </w:tc>
        <w:tc>
          <w:tcPr>
            <w:tcW w:w="1551"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547" w:type="dxa"/>
            <w:gridSpan w:val="2"/>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毕业院校</w:t>
            </w:r>
          </w:p>
        </w:tc>
        <w:tc>
          <w:tcPr>
            <w:tcW w:w="4653" w:type="dxa"/>
            <w:gridSpan w:val="6"/>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jc w:val="center"/>
        </w:trPr>
        <w:tc>
          <w:tcPr>
            <w:tcW w:w="1866" w:type="dxa"/>
            <w:gridSpan w:val="3"/>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毕业时间</w:t>
            </w:r>
          </w:p>
        </w:tc>
        <w:tc>
          <w:tcPr>
            <w:tcW w:w="1551"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547" w:type="dxa"/>
            <w:gridSpan w:val="2"/>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最高学历</w:t>
            </w:r>
          </w:p>
        </w:tc>
        <w:tc>
          <w:tcPr>
            <w:tcW w:w="1459"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530" w:type="dxa"/>
            <w:gridSpan w:val="2"/>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专业</w:t>
            </w:r>
          </w:p>
        </w:tc>
        <w:tc>
          <w:tcPr>
            <w:tcW w:w="1664"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jc w:val="center"/>
        </w:trPr>
        <w:tc>
          <w:tcPr>
            <w:tcW w:w="1866" w:type="dxa"/>
            <w:gridSpan w:val="3"/>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监理资质</w:t>
            </w:r>
          </w:p>
        </w:tc>
        <w:tc>
          <w:tcPr>
            <w:tcW w:w="3098" w:type="dxa"/>
            <w:gridSpan w:val="4"/>
            <w:noWrap w:val="0"/>
            <w:vAlign w:val="top"/>
          </w:tcPr>
          <w:p>
            <w:pPr>
              <w:spacing w:line="500" w:lineRule="exact"/>
              <w:jc w:val="center"/>
              <w:rPr>
                <w:rFonts w:hint="eastAsia" w:ascii="宋体" w:hAnsi="宋体" w:eastAsia="宋体" w:cs="宋体"/>
                <w:color w:val="auto"/>
                <w:szCs w:val="28"/>
                <w:highlight w:val="none"/>
                <w:lang w:val="zh-CN"/>
              </w:rPr>
            </w:pPr>
          </w:p>
        </w:tc>
        <w:tc>
          <w:tcPr>
            <w:tcW w:w="2989" w:type="dxa"/>
            <w:gridSpan w:val="4"/>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证书编号</w:t>
            </w:r>
          </w:p>
        </w:tc>
        <w:tc>
          <w:tcPr>
            <w:tcW w:w="1664"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1" w:hRule="atLeast"/>
          <w:jc w:val="center"/>
        </w:trPr>
        <w:tc>
          <w:tcPr>
            <w:tcW w:w="1866" w:type="dxa"/>
            <w:gridSpan w:val="3"/>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本项目拟</w:t>
            </w:r>
          </w:p>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出任职务</w:t>
            </w:r>
          </w:p>
        </w:tc>
        <w:tc>
          <w:tcPr>
            <w:tcW w:w="1551"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p>
        </w:tc>
        <w:tc>
          <w:tcPr>
            <w:tcW w:w="1547"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工作年限</w:t>
            </w:r>
          </w:p>
        </w:tc>
        <w:tc>
          <w:tcPr>
            <w:tcW w:w="1459"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p>
        </w:tc>
        <w:tc>
          <w:tcPr>
            <w:tcW w:w="1530"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专业工作</w:t>
            </w:r>
          </w:p>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年限</w:t>
            </w:r>
          </w:p>
        </w:tc>
        <w:tc>
          <w:tcPr>
            <w:tcW w:w="1664"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jc w:val="center"/>
        </w:trPr>
        <w:tc>
          <w:tcPr>
            <w:tcW w:w="9617" w:type="dxa"/>
            <w:gridSpan w:val="13"/>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主要工作经历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1" w:hRule="atLeast"/>
          <w:jc w:val="center"/>
        </w:trPr>
        <w:tc>
          <w:tcPr>
            <w:tcW w:w="1343" w:type="dxa"/>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年月</w:t>
            </w:r>
          </w:p>
        </w:tc>
        <w:tc>
          <w:tcPr>
            <w:tcW w:w="1343" w:type="dxa"/>
            <w:gridSpan w:val="3"/>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单位</w:t>
            </w:r>
          </w:p>
        </w:tc>
        <w:tc>
          <w:tcPr>
            <w:tcW w:w="1343"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工程名称</w:t>
            </w:r>
          </w:p>
        </w:tc>
        <w:tc>
          <w:tcPr>
            <w:tcW w:w="1993"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在工程中</w:t>
            </w:r>
          </w:p>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担任岗位</w:t>
            </w:r>
          </w:p>
        </w:tc>
        <w:tc>
          <w:tcPr>
            <w:tcW w:w="1256"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主要工作</w:t>
            </w:r>
          </w:p>
        </w:tc>
        <w:tc>
          <w:tcPr>
            <w:tcW w:w="1100"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证明人</w:t>
            </w:r>
          </w:p>
        </w:tc>
        <w:tc>
          <w:tcPr>
            <w:tcW w:w="1239" w:type="dxa"/>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联系</w:t>
            </w:r>
          </w:p>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5" w:hRule="atLeast"/>
          <w:jc w:val="center"/>
        </w:trPr>
        <w:tc>
          <w:tcPr>
            <w:tcW w:w="1343" w:type="dxa"/>
            <w:noWrap w:val="0"/>
            <w:vAlign w:val="top"/>
          </w:tcPr>
          <w:p>
            <w:pPr>
              <w:spacing w:line="500" w:lineRule="exact"/>
              <w:jc w:val="center"/>
              <w:rPr>
                <w:rFonts w:hint="eastAsia" w:ascii="宋体" w:hAnsi="宋体" w:eastAsia="宋体" w:cs="宋体"/>
                <w:color w:val="auto"/>
                <w:szCs w:val="28"/>
                <w:highlight w:val="none"/>
                <w:lang w:val="zh-CN"/>
              </w:rPr>
            </w:pPr>
          </w:p>
        </w:tc>
        <w:tc>
          <w:tcPr>
            <w:tcW w:w="1343" w:type="dxa"/>
            <w:gridSpan w:val="3"/>
            <w:noWrap w:val="0"/>
            <w:vAlign w:val="top"/>
          </w:tcPr>
          <w:p>
            <w:pPr>
              <w:spacing w:line="500" w:lineRule="exact"/>
              <w:jc w:val="center"/>
              <w:rPr>
                <w:rFonts w:hint="eastAsia" w:ascii="宋体" w:hAnsi="宋体" w:eastAsia="宋体" w:cs="宋体"/>
                <w:color w:val="auto"/>
                <w:szCs w:val="28"/>
                <w:highlight w:val="none"/>
                <w:lang w:val="zh-CN"/>
              </w:rPr>
            </w:pPr>
          </w:p>
        </w:tc>
        <w:tc>
          <w:tcPr>
            <w:tcW w:w="1343"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993"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256"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100"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239" w:type="dxa"/>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jc w:val="center"/>
        </w:trPr>
        <w:tc>
          <w:tcPr>
            <w:tcW w:w="4029" w:type="dxa"/>
            <w:gridSpan w:val="6"/>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目前承担工作或在监工程名称</w:t>
            </w:r>
          </w:p>
        </w:tc>
        <w:tc>
          <w:tcPr>
            <w:tcW w:w="5588" w:type="dxa"/>
            <w:gridSpan w:val="7"/>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jc w:val="center"/>
        </w:trPr>
        <w:tc>
          <w:tcPr>
            <w:tcW w:w="4029" w:type="dxa"/>
            <w:gridSpan w:val="6"/>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担任职务</w:t>
            </w:r>
          </w:p>
        </w:tc>
        <w:tc>
          <w:tcPr>
            <w:tcW w:w="5588" w:type="dxa"/>
            <w:gridSpan w:val="7"/>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jc w:val="center"/>
        </w:trPr>
        <w:tc>
          <w:tcPr>
            <w:tcW w:w="4029" w:type="dxa"/>
            <w:gridSpan w:val="6"/>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在监工程开、竣工时间</w:t>
            </w:r>
          </w:p>
        </w:tc>
        <w:tc>
          <w:tcPr>
            <w:tcW w:w="5588" w:type="dxa"/>
            <w:gridSpan w:val="7"/>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 w:hRule="atLeast"/>
          <w:jc w:val="center"/>
        </w:trPr>
        <w:tc>
          <w:tcPr>
            <w:tcW w:w="1685" w:type="dxa"/>
            <w:gridSpan w:val="2"/>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奖惩情况</w:t>
            </w:r>
          </w:p>
        </w:tc>
        <w:tc>
          <w:tcPr>
            <w:tcW w:w="7932" w:type="dxa"/>
            <w:gridSpan w:val="11"/>
            <w:noWrap w:val="0"/>
            <w:vAlign w:val="top"/>
          </w:tcPr>
          <w:p>
            <w:pPr>
              <w:spacing w:line="500" w:lineRule="exact"/>
              <w:jc w:val="center"/>
              <w:rPr>
                <w:rFonts w:hint="eastAsia" w:ascii="宋体" w:hAnsi="宋体" w:eastAsia="宋体" w:cs="宋体"/>
                <w:color w:val="auto"/>
                <w:szCs w:val="28"/>
                <w:highlight w:val="none"/>
                <w:lang w:val="zh-CN"/>
              </w:rPr>
            </w:pPr>
          </w:p>
        </w:tc>
      </w:tr>
    </w:tbl>
    <w:p>
      <w:pPr>
        <w:spacing w:line="500" w:lineRule="exact"/>
        <w:rPr>
          <w:rFonts w:hint="eastAsia" w:ascii="宋体" w:hAnsi="宋体" w:eastAsia="宋体" w:cs="宋体"/>
          <w:b/>
          <w:bCs w:val="0"/>
          <w:color w:val="auto"/>
          <w:szCs w:val="28"/>
          <w:highlight w:val="none"/>
          <w:lang w:val="zh-CN"/>
        </w:rPr>
      </w:pPr>
      <w:r>
        <w:rPr>
          <w:rFonts w:hint="eastAsia" w:ascii="宋体" w:hAnsi="宋体" w:eastAsia="宋体" w:cs="宋体"/>
          <w:b/>
          <w:bCs w:val="0"/>
          <w:color w:val="auto"/>
          <w:szCs w:val="28"/>
          <w:highlight w:val="none"/>
          <w:lang w:val="zh-CN"/>
        </w:rPr>
        <w:t>备注：本表后附身份证、毕业证书、职称证书、监理工程师注册证书等的复印件。</w:t>
      </w:r>
    </w:p>
    <w:p>
      <w:pPr>
        <w:spacing w:line="500" w:lineRule="exact"/>
        <w:jc w:val="center"/>
        <w:rPr>
          <w:rFonts w:hint="eastAsia" w:ascii="宋体" w:hAnsi="宋体" w:eastAsia="宋体" w:cs="宋体"/>
          <w:b/>
          <w:bCs w:val="0"/>
          <w:color w:val="auto"/>
          <w:szCs w:val="28"/>
          <w:highlight w:val="none"/>
          <w:lang w:val="zh-CN"/>
        </w:rPr>
      </w:pPr>
    </w:p>
    <w:p>
      <w:pPr>
        <w:spacing w:line="500" w:lineRule="exact"/>
        <w:jc w:val="center"/>
        <w:rPr>
          <w:rFonts w:hint="eastAsia" w:ascii="宋体" w:hAnsi="宋体" w:eastAsia="宋体" w:cs="宋体"/>
          <w:b/>
          <w:bCs w:val="0"/>
          <w:color w:val="auto"/>
          <w:szCs w:val="28"/>
          <w:highlight w:val="none"/>
          <w:lang w:val="zh-CN"/>
        </w:rPr>
      </w:pPr>
    </w:p>
    <w:p>
      <w:pPr>
        <w:spacing w:line="500" w:lineRule="exact"/>
        <w:rPr>
          <w:rFonts w:hint="eastAsia" w:ascii="宋体" w:hAnsi="宋体" w:eastAsia="宋体" w:cs="宋体"/>
          <w:b/>
          <w:bCs w:val="0"/>
          <w:color w:val="auto"/>
          <w:szCs w:val="28"/>
          <w:highlight w:val="none"/>
          <w:lang w:val="zh-CN"/>
        </w:rPr>
      </w:pPr>
    </w:p>
    <w:p>
      <w:pPr>
        <w:spacing w:line="500" w:lineRule="exact"/>
        <w:jc w:val="center"/>
        <w:rPr>
          <w:rFonts w:hint="eastAsia" w:ascii="宋体" w:hAnsi="宋体" w:eastAsia="宋体" w:cs="宋体"/>
          <w:b/>
          <w:bCs w:val="0"/>
          <w:color w:val="auto"/>
          <w:sz w:val="34"/>
          <w:szCs w:val="28"/>
          <w:highlight w:val="none"/>
        </w:rPr>
      </w:pPr>
      <w:r>
        <w:rPr>
          <w:rFonts w:hint="eastAsia" w:ascii="宋体" w:hAnsi="宋体" w:eastAsia="宋体" w:cs="宋体"/>
          <w:b/>
          <w:bCs w:val="0"/>
          <w:color w:val="auto"/>
          <w:sz w:val="34"/>
          <w:szCs w:val="28"/>
          <w:highlight w:val="none"/>
        </w:rPr>
        <w:t>拟投入的</w:t>
      </w:r>
      <w:r>
        <w:rPr>
          <w:rFonts w:hint="eastAsia" w:ascii="宋体" w:hAnsi="宋体" w:eastAsia="宋体" w:cs="宋体"/>
          <w:b/>
          <w:bCs w:val="0"/>
          <w:color w:val="auto"/>
          <w:sz w:val="34"/>
          <w:szCs w:val="28"/>
          <w:highlight w:val="none"/>
          <w:lang w:eastAsia="zh-CN"/>
        </w:rPr>
        <w:t>安全监理工程师</w:t>
      </w:r>
      <w:r>
        <w:rPr>
          <w:rFonts w:hint="eastAsia" w:ascii="宋体" w:hAnsi="宋体" w:eastAsia="宋体" w:cs="宋体"/>
          <w:b/>
          <w:bCs w:val="0"/>
          <w:color w:val="auto"/>
          <w:sz w:val="34"/>
          <w:szCs w:val="28"/>
          <w:highlight w:val="none"/>
        </w:rPr>
        <w:t>简历表</w:t>
      </w:r>
    </w:p>
    <w:p>
      <w:pPr>
        <w:spacing w:line="500" w:lineRule="exact"/>
        <w:jc w:val="left"/>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 xml:space="preserve">项目名称： </w:t>
      </w:r>
    </w:p>
    <w:tbl>
      <w:tblPr>
        <w:tblStyle w:val="17"/>
        <w:tblW w:w="961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43"/>
        <w:gridCol w:w="342"/>
        <w:gridCol w:w="181"/>
        <w:gridCol w:w="820"/>
        <w:gridCol w:w="731"/>
        <w:gridCol w:w="612"/>
        <w:gridCol w:w="935"/>
        <w:gridCol w:w="1058"/>
        <w:gridCol w:w="386"/>
        <w:gridCol w:w="885"/>
        <w:gridCol w:w="645"/>
        <w:gridCol w:w="540"/>
        <w:gridCol w:w="113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jc w:val="center"/>
        </w:trPr>
        <w:tc>
          <w:tcPr>
            <w:tcW w:w="1866" w:type="dxa"/>
            <w:gridSpan w:val="3"/>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姓名</w:t>
            </w:r>
          </w:p>
        </w:tc>
        <w:tc>
          <w:tcPr>
            <w:tcW w:w="1551"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547" w:type="dxa"/>
            <w:gridSpan w:val="2"/>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性别</w:t>
            </w:r>
          </w:p>
        </w:tc>
        <w:tc>
          <w:tcPr>
            <w:tcW w:w="1444"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530" w:type="dxa"/>
            <w:gridSpan w:val="2"/>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年龄</w:t>
            </w:r>
          </w:p>
        </w:tc>
        <w:tc>
          <w:tcPr>
            <w:tcW w:w="1679"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jc w:val="center"/>
        </w:trPr>
        <w:tc>
          <w:tcPr>
            <w:tcW w:w="1866" w:type="dxa"/>
            <w:gridSpan w:val="3"/>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职称</w:t>
            </w:r>
          </w:p>
        </w:tc>
        <w:tc>
          <w:tcPr>
            <w:tcW w:w="1551"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547" w:type="dxa"/>
            <w:gridSpan w:val="2"/>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毕业院校</w:t>
            </w:r>
          </w:p>
        </w:tc>
        <w:tc>
          <w:tcPr>
            <w:tcW w:w="4653" w:type="dxa"/>
            <w:gridSpan w:val="6"/>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jc w:val="center"/>
        </w:trPr>
        <w:tc>
          <w:tcPr>
            <w:tcW w:w="1866" w:type="dxa"/>
            <w:gridSpan w:val="3"/>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毕业时间</w:t>
            </w:r>
          </w:p>
        </w:tc>
        <w:tc>
          <w:tcPr>
            <w:tcW w:w="1551"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547" w:type="dxa"/>
            <w:gridSpan w:val="2"/>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最高学历</w:t>
            </w:r>
          </w:p>
        </w:tc>
        <w:tc>
          <w:tcPr>
            <w:tcW w:w="1444"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530" w:type="dxa"/>
            <w:gridSpan w:val="2"/>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专业</w:t>
            </w:r>
          </w:p>
        </w:tc>
        <w:tc>
          <w:tcPr>
            <w:tcW w:w="1679"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jc w:val="center"/>
        </w:trPr>
        <w:tc>
          <w:tcPr>
            <w:tcW w:w="1866" w:type="dxa"/>
            <w:gridSpan w:val="3"/>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监理资质</w:t>
            </w:r>
          </w:p>
        </w:tc>
        <w:tc>
          <w:tcPr>
            <w:tcW w:w="3098" w:type="dxa"/>
            <w:gridSpan w:val="4"/>
            <w:noWrap w:val="0"/>
            <w:vAlign w:val="top"/>
          </w:tcPr>
          <w:p>
            <w:pPr>
              <w:spacing w:line="500" w:lineRule="exact"/>
              <w:jc w:val="center"/>
              <w:rPr>
                <w:rFonts w:hint="eastAsia" w:ascii="宋体" w:hAnsi="宋体" w:eastAsia="宋体" w:cs="宋体"/>
                <w:color w:val="auto"/>
                <w:szCs w:val="28"/>
                <w:highlight w:val="none"/>
                <w:lang w:val="zh-CN"/>
              </w:rPr>
            </w:pPr>
          </w:p>
        </w:tc>
        <w:tc>
          <w:tcPr>
            <w:tcW w:w="2974" w:type="dxa"/>
            <w:gridSpan w:val="4"/>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证书编号</w:t>
            </w:r>
          </w:p>
        </w:tc>
        <w:tc>
          <w:tcPr>
            <w:tcW w:w="1679"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4" w:hRule="atLeast"/>
          <w:jc w:val="center"/>
        </w:trPr>
        <w:tc>
          <w:tcPr>
            <w:tcW w:w="1866" w:type="dxa"/>
            <w:gridSpan w:val="3"/>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本项目拟</w:t>
            </w:r>
          </w:p>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出任职务</w:t>
            </w:r>
          </w:p>
        </w:tc>
        <w:tc>
          <w:tcPr>
            <w:tcW w:w="1551"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p>
        </w:tc>
        <w:tc>
          <w:tcPr>
            <w:tcW w:w="1547"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工作年限</w:t>
            </w:r>
          </w:p>
        </w:tc>
        <w:tc>
          <w:tcPr>
            <w:tcW w:w="1444"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p>
        </w:tc>
        <w:tc>
          <w:tcPr>
            <w:tcW w:w="1530"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专业工作</w:t>
            </w:r>
          </w:p>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年限</w:t>
            </w:r>
          </w:p>
        </w:tc>
        <w:tc>
          <w:tcPr>
            <w:tcW w:w="1679"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jc w:val="center"/>
        </w:trPr>
        <w:tc>
          <w:tcPr>
            <w:tcW w:w="9617" w:type="dxa"/>
            <w:gridSpan w:val="13"/>
            <w:noWrap w:val="0"/>
            <w:vAlign w:val="center"/>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主要工作经历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6" w:hRule="atLeast"/>
          <w:jc w:val="center"/>
        </w:trPr>
        <w:tc>
          <w:tcPr>
            <w:tcW w:w="1343" w:type="dxa"/>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年月</w:t>
            </w:r>
          </w:p>
        </w:tc>
        <w:tc>
          <w:tcPr>
            <w:tcW w:w="1343" w:type="dxa"/>
            <w:gridSpan w:val="3"/>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单位</w:t>
            </w:r>
          </w:p>
        </w:tc>
        <w:tc>
          <w:tcPr>
            <w:tcW w:w="1343"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工程名称</w:t>
            </w:r>
          </w:p>
        </w:tc>
        <w:tc>
          <w:tcPr>
            <w:tcW w:w="1993"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在工程中</w:t>
            </w:r>
          </w:p>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担任岗位</w:t>
            </w:r>
          </w:p>
        </w:tc>
        <w:tc>
          <w:tcPr>
            <w:tcW w:w="1271"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主要工作</w:t>
            </w:r>
          </w:p>
        </w:tc>
        <w:tc>
          <w:tcPr>
            <w:tcW w:w="1185"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证明人</w:t>
            </w:r>
          </w:p>
        </w:tc>
        <w:tc>
          <w:tcPr>
            <w:tcW w:w="1139" w:type="dxa"/>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联系</w:t>
            </w:r>
          </w:p>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68" w:hRule="atLeast"/>
          <w:jc w:val="center"/>
        </w:trPr>
        <w:tc>
          <w:tcPr>
            <w:tcW w:w="1343" w:type="dxa"/>
            <w:noWrap w:val="0"/>
            <w:vAlign w:val="top"/>
          </w:tcPr>
          <w:p>
            <w:pPr>
              <w:spacing w:line="500" w:lineRule="exact"/>
              <w:jc w:val="center"/>
              <w:rPr>
                <w:rFonts w:hint="eastAsia" w:ascii="宋体" w:hAnsi="宋体" w:eastAsia="宋体" w:cs="宋体"/>
                <w:color w:val="auto"/>
                <w:szCs w:val="28"/>
                <w:highlight w:val="none"/>
                <w:lang w:val="zh-CN"/>
              </w:rPr>
            </w:pPr>
          </w:p>
        </w:tc>
        <w:tc>
          <w:tcPr>
            <w:tcW w:w="1343" w:type="dxa"/>
            <w:gridSpan w:val="3"/>
            <w:noWrap w:val="0"/>
            <w:vAlign w:val="top"/>
          </w:tcPr>
          <w:p>
            <w:pPr>
              <w:spacing w:line="500" w:lineRule="exact"/>
              <w:jc w:val="center"/>
              <w:rPr>
                <w:rFonts w:hint="eastAsia" w:ascii="宋体" w:hAnsi="宋体" w:eastAsia="宋体" w:cs="宋体"/>
                <w:color w:val="auto"/>
                <w:szCs w:val="28"/>
                <w:highlight w:val="none"/>
                <w:lang w:val="zh-CN"/>
              </w:rPr>
            </w:pPr>
          </w:p>
        </w:tc>
        <w:tc>
          <w:tcPr>
            <w:tcW w:w="1343"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993"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271"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185"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139" w:type="dxa"/>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jc w:val="center"/>
        </w:trPr>
        <w:tc>
          <w:tcPr>
            <w:tcW w:w="4029" w:type="dxa"/>
            <w:gridSpan w:val="6"/>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目前承担工作或在监工程名称</w:t>
            </w:r>
          </w:p>
        </w:tc>
        <w:tc>
          <w:tcPr>
            <w:tcW w:w="5588" w:type="dxa"/>
            <w:gridSpan w:val="7"/>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jc w:val="center"/>
        </w:trPr>
        <w:tc>
          <w:tcPr>
            <w:tcW w:w="4029" w:type="dxa"/>
            <w:gridSpan w:val="6"/>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担任职务</w:t>
            </w:r>
          </w:p>
        </w:tc>
        <w:tc>
          <w:tcPr>
            <w:tcW w:w="5588" w:type="dxa"/>
            <w:gridSpan w:val="7"/>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jc w:val="center"/>
        </w:trPr>
        <w:tc>
          <w:tcPr>
            <w:tcW w:w="4029" w:type="dxa"/>
            <w:gridSpan w:val="6"/>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在监工程开、竣工时间</w:t>
            </w:r>
          </w:p>
        </w:tc>
        <w:tc>
          <w:tcPr>
            <w:tcW w:w="5588" w:type="dxa"/>
            <w:gridSpan w:val="7"/>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 w:hRule="atLeast"/>
          <w:jc w:val="center"/>
        </w:trPr>
        <w:tc>
          <w:tcPr>
            <w:tcW w:w="1685" w:type="dxa"/>
            <w:gridSpan w:val="2"/>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奖惩情况</w:t>
            </w:r>
          </w:p>
        </w:tc>
        <w:tc>
          <w:tcPr>
            <w:tcW w:w="7932" w:type="dxa"/>
            <w:gridSpan w:val="11"/>
            <w:noWrap w:val="0"/>
            <w:vAlign w:val="top"/>
          </w:tcPr>
          <w:p>
            <w:pPr>
              <w:spacing w:line="500" w:lineRule="exact"/>
              <w:jc w:val="center"/>
              <w:rPr>
                <w:rFonts w:hint="eastAsia" w:ascii="宋体" w:hAnsi="宋体" w:eastAsia="宋体" w:cs="宋体"/>
                <w:color w:val="auto"/>
                <w:szCs w:val="28"/>
                <w:highlight w:val="none"/>
                <w:lang w:val="zh-CN"/>
              </w:rPr>
            </w:pPr>
          </w:p>
        </w:tc>
      </w:tr>
    </w:tbl>
    <w:p>
      <w:pPr>
        <w:spacing w:line="500" w:lineRule="exact"/>
        <w:rPr>
          <w:rFonts w:hint="eastAsia" w:ascii="宋体" w:hAnsi="宋体" w:eastAsia="宋体" w:cs="宋体"/>
          <w:b/>
          <w:bCs w:val="0"/>
          <w:color w:val="auto"/>
          <w:szCs w:val="28"/>
          <w:highlight w:val="none"/>
          <w:lang w:val="zh-CN"/>
        </w:rPr>
      </w:pPr>
      <w:r>
        <w:rPr>
          <w:rFonts w:hint="eastAsia" w:ascii="宋体" w:hAnsi="宋体" w:eastAsia="宋体" w:cs="宋体"/>
          <w:b/>
          <w:bCs w:val="0"/>
          <w:color w:val="auto"/>
          <w:szCs w:val="28"/>
          <w:highlight w:val="none"/>
          <w:lang w:val="zh-CN"/>
        </w:rPr>
        <w:t>备注：本表后附身份证、毕业证书、职称证书、监理工程师注册证书等的复印件。</w:t>
      </w:r>
    </w:p>
    <w:p>
      <w:pPr>
        <w:spacing w:line="500" w:lineRule="exact"/>
        <w:jc w:val="center"/>
        <w:rPr>
          <w:rFonts w:hint="eastAsia" w:ascii="宋体" w:hAnsi="宋体" w:eastAsia="宋体" w:cs="宋体"/>
          <w:b/>
          <w:bCs w:val="0"/>
          <w:color w:val="auto"/>
          <w:szCs w:val="28"/>
          <w:highlight w:val="none"/>
          <w:lang w:val="zh-CN"/>
        </w:rPr>
      </w:pPr>
    </w:p>
    <w:p>
      <w:pPr>
        <w:spacing w:line="500" w:lineRule="exact"/>
        <w:jc w:val="center"/>
        <w:rPr>
          <w:rFonts w:hint="eastAsia" w:ascii="宋体" w:hAnsi="宋体" w:eastAsia="宋体" w:cs="宋体"/>
          <w:b/>
          <w:bCs w:val="0"/>
          <w:color w:val="auto"/>
          <w:sz w:val="34"/>
          <w:szCs w:val="28"/>
          <w:highlight w:val="none"/>
        </w:rPr>
      </w:pPr>
      <w:r>
        <w:rPr>
          <w:rFonts w:ascii="宋体" w:hAnsi="宋体" w:eastAsia="宋体" w:cs="宋体"/>
          <w:b/>
          <w:bCs w:val="0"/>
          <w:color w:val="auto"/>
          <w:szCs w:val="28"/>
          <w:highlight w:val="none"/>
          <w:lang w:val="zh-CN"/>
        </w:rPr>
        <w:br w:type="page"/>
      </w:r>
      <w:r>
        <w:rPr>
          <w:rFonts w:hint="eastAsia" w:ascii="宋体" w:hAnsi="宋体" w:eastAsia="宋体" w:cs="宋体"/>
          <w:b/>
          <w:bCs w:val="0"/>
          <w:color w:val="auto"/>
          <w:sz w:val="34"/>
          <w:szCs w:val="28"/>
          <w:highlight w:val="none"/>
        </w:rPr>
        <w:t>拟投入的</w:t>
      </w:r>
      <w:r>
        <w:rPr>
          <w:rFonts w:hint="eastAsia" w:ascii="宋体" w:hAnsi="宋体" w:eastAsia="宋体" w:cs="宋体"/>
          <w:b/>
          <w:bCs w:val="0"/>
          <w:color w:val="auto"/>
          <w:sz w:val="34"/>
          <w:szCs w:val="28"/>
          <w:highlight w:val="none"/>
          <w:lang w:eastAsia="zh-CN"/>
        </w:rPr>
        <w:t>专业</w:t>
      </w:r>
      <w:r>
        <w:rPr>
          <w:rFonts w:hint="eastAsia" w:ascii="宋体" w:hAnsi="宋体" w:eastAsia="宋体" w:cs="宋体"/>
          <w:b/>
          <w:bCs w:val="0"/>
          <w:color w:val="auto"/>
          <w:sz w:val="34"/>
          <w:szCs w:val="28"/>
          <w:highlight w:val="none"/>
        </w:rPr>
        <w:t>监理工程师简历表</w:t>
      </w:r>
    </w:p>
    <w:p>
      <w:pPr>
        <w:spacing w:line="500" w:lineRule="exact"/>
        <w:jc w:val="left"/>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 xml:space="preserve">项目名称： </w:t>
      </w:r>
    </w:p>
    <w:tbl>
      <w:tblPr>
        <w:tblStyle w:val="17"/>
        <w:tblW w:w="961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43"/>
        <w:gridCol w:w="342"/>
        <w:gridCol w:w="181"/>
        <w:gridCol w:w="820"/>
        <w:gridCol w:w="731"/>
        <w:gridCol w:w="612"/>
        <w:gridCol w:w="935"/>
        <w:gridCol w:w="1058"/>
        <w:gridCol w:w="386"/>
        <w:gridCol w:w="885"/>
        <w:gridCol w:w="645"/>
        <w:gridCol w:w="540"/>
        <w:gridCol w:w="113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jc w:val="center"/>
        </w:trPr>
        <w:tc>
          <w:tcPr>
            <w:tcW w:w="1866" w:type="dxa"/>
            <w:gridSpan w:val="3"/>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姓名</w:t>
            </w:r>
          </w:p>
        </w:tc>
        <w:tc>
          <w:tcPr>
            <w:tcW w:w="1551"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547" w:type="dxa"/>
            <w:gridSpan w:val="2"/>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性别</w:t>
            </w:r>
          </w:p>
        </w:tc>
        <w:tc>
          <w:tcPr>
            <w:tcW w:w="1444"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530" w:type="dxa"/>
            <w:gridSpan w:val="2"/>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年龄</w:t>
            </w:r>
          </w:p>
        </w:tc>
        <w:tc>
          <w:tcPr>
            <w:tcW w:w="1679"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jc w:val="center"/>
        </w:trPr>
        <w:tc>
          <w:tcPr>
            <w:tcW w:w="1866" w:type="dxa"/>
            <w:gridSpan w:val="3"/>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职称</w:t>
            </w:r>
          </w:p>
        </w:tc>
        <w:tc>
          <w:tcPr>
            <w:tcW w:w="1551"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547" w:type="dxa"/>
            <w:gridSpan w:val="2"/>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毕业院校</w:t>
            </w:r>
          </w:p>
        </w:tc>
        <w:tc>
          <w:tcPr>
            <w:tcW w:w="4653" w:type="dxa"/>
            <w:gridSpan w:val="6"/>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jc w:val="center"/>
        </w:trPr>
        <w:tc>
          <w:tcPr>
            <w:tcW w:w="1866" w:type="dxa"/>
            <w:gridSpan w:val="3"/>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毕业时间</w:t>
            </w:r>
          </w:p>
        </w:tc>
        <w:tc>
          <w:tcPr>
            <w:tcW w:w="1551"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547" w:type="dxa"/>
            <w:gridSpan w:val="2"/>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最高学历</w:t>
            </w:r>
          </w:p>
        </w:tc>
        <w:tc>
          <w:tcPr>
            <w:tcW w:w="1444"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530" w:type="dxa"/>
            <w:gridSpan w:val="2"/>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专业</w:t>
            </w:r>
          </w:p>
        </w:tc>
        <w:tc>
          <w:tcPr>
            <w:tcW w:w="1679"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jc w:val="center"/>
        </w:trPr>
        <w:tc>
          <w:tcPr>
            <w:tcW w:w="1866" w:type="dxa"/>
            <w:gridSpan w:val="3"/>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监理资质</w:t>
            </w:r>
          </w:p>
        </w:tc>
        <w:tc>
          <w:tcPr>
            <w:tcW w:w="3098" w:type="dxa"/>
            <w:gridSpan w:val="4"/>
            <w:noWrap w:val="0"/>
            <w:vAlign w:val="top"/>
          </w:tcPr>
          <w:p>
            <w:pPr>
              <w:spacing w:line="500" w:lineRule="exact"/>
              <w:jc w:val="center"/>
              <w:rPr>
                <w:rFonts w:hint="eastAsia" w:ascii="宋体" w:hAnsi="宋体" w:eastAsia="宋体" w:cs="宋体"/>
                <w:color w:val="auto"/>
                <w:szCs w:val="28"/>
                <w:highlight w:val="none"/>
                <w:lang w:val="zh-CN"/>
              </w:rPr>
            </w:pPr>
          </w:p>
        </w:tc>
        <w:tc>
          <w:tcPr>
            <w:tcW w:w="2974" w:type="dxa"/>
            <w:gridSpan w:val="4"/>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证书编号</w:t>
            </w:r>
          </w:p>
        </w:tc>
        <w:tc>
          <w:tcPr>
            <w:tcW w:w="1679"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4" w:hRule="atLeast"/>
          <w:jc w:val="center"/>
        </w:trPr>
        <w:tc>
          <w:tcPr>
            <w:tcW w:w="1866" w:type="dxa"/>
            <w:gridSpan w:val="3"/>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本项目拟</w:t>
            </w:r>
          </w:p>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出任职务</w:t>
            </w:r>
          </w:p>
        </w:tc>
        <w:tc>
          <w:tcPr>
            <w:tcW w:w="1551"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p>
        </w:tc>
        <w:tc>
          <w:tcPr>
            <w:tcW w:w="1547"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工作年限</w:t>
            </w:r>
          </w:p>
        </w:tc>
        <w:tc>
          <w:tcPr>
            <w:tcW w:w="1444"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p>
        </w:tc>
        <w:tc>
          <w:tcPr>
            <w:tcW w:w="1530"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专业工作</w:t>
            </w:r>
          </w:p>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年限</w:t>
            </w:r>
          </w:p>
        </w:tc>
        <w:tc>
          <w:tcPr>
            <w:tcW w:w="1679"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jc w:val="center"/>
        </w:trPr>
        <w:tc>
          <w:tcPr>
            <w:tcW w:w="9617" w:type="dxa"/>
            <w:gridSpan w:val="13"/>
            <w:noWrap w:val="0"/>
            <w:vAlign w:val="center"/>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主要工作经历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6" w:hRule="atLeast"/>
          <w:jc w:val="center"/>
        </w:trPr>
        <w:tc>
          <w:tcPr>
            <w:tcW w:w="1343" w:type="dxa"/>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年月</w:t>
            </w:r>
          </w:p>
        </w:tc>
        <w:tc>
          <w:tcPr>
            <w:tcW w:w="1343" w:type="dxa"/>
            <w:gridSpan w:val="3"/>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单位</w:t>
            </w:r>
          </w:p>
        </w:tc>
        <w:tc>
          <w:tcPr>
            <w:tcW w:w="1343"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工程名称</w:t>
            </w:r>
          </w:p>
        </w:tc>
        <w:tc>
          <w:tcPr>
            <w:tcW w:w="1993"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在工程中</w:t>
            </w:r>
          </w:p>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担任岗位</w:t>
            </w:r>
          </w:p>
        </w:tc>
        <w:tc>
          <w:tcPr>
            <w:tcW w:w="1271"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主要工作</w:t>
            </w:r>
          </w:p>
        </w:tc>
        <w:tc>
          <w:tcPr>
            <w:tcW w:w="1185" w:type="dxa"/>
            <w:gridSpan w:val="2"/>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证明人</w:t>
            </w:r>
          </w:p>
        </w:tc>
        <w:tc>
          <w:tcPr>
            <w:tcW w:w="1139" w:type="dxa"/>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联系</w:t>
            </w:r>
          </w:p>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68" w:hRule="atLeast"/>
          <w:jc w:val="center"/>
        </w:trPr>
        <w:tc>
          <w:tcPr>
            <w:tcW w:w="1343" w:type="dxa"/>
            <w:noWrap w:val="0"/>
            <w:vAlign w:val="top"/>
          </w:tcPr>
          <w:p>
            <w:pPr>
              <w:spacing w:line="500" w:lineRule="exact"/>
              <w:jc w:val="center"/>
              <w:rPr>
                <w:rFonts w:hint="eastAsia" w:ascii="宋体" w:hAnsi="宋体" w:eastAsia="宋体" w:cs="宋体"/>
                <w:color w:val="auto"/>
                <w:szCs w:val="28"/>
                <w:highlight w:val="none"/>
                <w:lang w:val="zh-CN"/>
              </w:rPr>
            </w:pPr>
          </w:p>
        </w:tc>
        <w:tc>
          <w:tcPr>
            <w:tcW w:w="1343" w:type="dxa"/>
            <w:gridSpan w:val="3"/>
            <w:noWrap w:val="0"/>
            <w:vAlign w:val="top"/>
          </w:tcPr>
          <w:p>
            <w:pPr>
              <w:spacing w:line="500" w:lineRule="exact"/>
              <w:jc w:val="center"/>
              <w:rPr>
                <w:rFonts w:hint="eastAsia" w:ascii="宋体" w:hAnsi="宋体" w:eastAsia="宋体" w:cs="宋体"/>
                <w:color w:val="auto"/>
                <w:szCs w:val="28"/>
                <w:highlight w:val="none"/>
                <w:lang w:val="zh-CN"/>
              </w:rPr>
            </w:pPr>
          </w:p>
        </w:tc>
        <w:tc>
          <w:tcPr>
            <w:tcW w:w="1343"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993"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271"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185" w:type="dxa"/>
            <w:gridSpan w:val="2"/>
            <w:noWrap w:val="0"/>
            <w:vAlign w:val="top"/>
          </w:tcPr>
          <w:p>
            <w:pPr>
              <w:spacing w:line="500" w:lineRule="exact"/>
              <w:jc w:val="center"/>
              <w:rPr>
                <w:rFonts w:hint="eastAsia" w:ascii="宋体" w:hAnsi="宋体" w:eastAsia="宋体" w:cs="宋体"/>
                <w:color w:val="auto"/>
                <w:szCs w:val="28"/>
                <w:highlight w:val="none"/>
                <w:lang w:val="zh-CN"/>
              </w:rPr>
            </w:pPr>
          </w:p>
        </w:tc>
        <w:tc>
          <w:tcPr>
            <w:tcW w:w="1139" w:type="dxa"/>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jc w:val="center"/>
        </w:trPr>
        <w:tc>
          <w:tcPr>
            <w:tcW w:w="4029" w:type="dxa"/>
            <w:gridSpan w:val="6"/>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目前承担工作或在监工程名称</w:t>
            </w:r>
          </w:p>
        </w:tc>
        <w:tc>
          <w:tcPr>
            <w:tcW w:w="5588" w:type="dxa"/>
            <w:gridSpan w:val="7"/>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jc w:val="center"/>
        </w:trPr>
        <w:tc>
          <w:tcPr>
            <w:tcW w:w="4029" w:type="dxa"/>
            <w:gridSpan w:val="6"/>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担任职务</w:t>
            </w:r>
          </w:p>
        </w:tc>
        <w:tc>
          <w:tcPr>
            <w:tcW w:w="5588" w:type="dxa"/>
            <w:gridSpan w:val="7"/>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jc w:val="center"/>
        </w:trPr>
        <w:tc>
          <w:tcPr>
            <w:tcW w:w="4029" w:type="dxa"/>
            <w:gridSpan w:val="6"/>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在监工程开、竣工时间</w:t>
            </w:r>
          </w:p>
        </w:tc>
        <w:tc>
          <w:tcPr>
            <w:tcW w:w="5588" w:type="dxa"/>
            <w:gridSpan w:val="7"/>
            <w:noWrap w:val="0"/>
            <w:vAlign w:val="top"/>
          </w:tcPr>
          <w:p>
            <w:pPr>
              <w:spacing w:line="500" w:lineRule="exact"/>
              <w:jc w:val="center"/>
              <w:rPr>
                <w:rFonts w:hint="eastAsia" w:ascii="宋体" w:hAnsi="宋体" w:eastAsia="宋体" w:cs="宋体"/>
                <w:color w:val="auto"/>
                <w:szCs w:val="28"/>
                <w:highlight w:val="none"/>
                <w:lang w:val="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 w:hRule="atLeast"/>
          <w:jc w:val="center"/>
        </w:trPr>
        <w:tc>
          <w:tcPr>
            <w:tcW w:w="1685" w:type="dxa"/>
            <w:gridSpan w:val="2"/>
            <w:noWrap w:val="0"/>
            <w:vAlign w:val="top"/>
          </w:tcPr>
          <w:p>
            <w:pPr>
              <w:spacing w:line="500" w:lineRule="exact"/>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奖惩情况</w:t>
            </w:r>
          </w:p>
        </w:tc>
        <w:tc>
          <w:tcPr>
            <w:tcW w:w="7932" w:type="dxa"/>
            <w:gridSpan w:val="11"/>
            <w:noWrap w:val="0"/>
            <w:vAlign w:val="top"/>
          </w:tcPr>
          <w:p>
            <w:pPr>
              <w:spacing w:line="500" w:lineRule="exact"/>
              <w:jc w:val="center"/>
              <w:rPr>
                <w:rFonts w:hint="eastAsia" w:ascii="宋体" w:hAnsi="宋体" w:eastAsia="宋体" w:cs="宋体"/>
                <w:color w:val="auto"/>
                <w:szCs w:val="28"/>
                <w:highlight w:val="none"/>
                <w:lang w:val="zh-CN"/>
              </w:rPr>
            </w:pPr>
          </w:p>
        </w:tc>
      </w:tr>
    </w:tbl>
    <w:p>
      <w:pPr>
        <w:spacing w:line="500" w:lineRule="exact"/>
        <w:rPr>
          <w:rFonts w:hint="eastAsia" w:ascii="宋体" w:hAnsi="宋体" w:eastAsia="宋体" w:cs="宋体"/>
          <w:b/>
          <w:bCs w:val="0"/>
          <w:color w:val="auto"/>
          <w:szCs w:val="28"/>
          <w:highlight w:val="none"/>
          <w:lang w:val="zh-CN"/>
        </w:rPr>
      </w:pPr>
      <w:r>
        <w:rPr>
          <w:rFonts w:hint="eastAsia" w:ascii="宋体" w:hAnsi="宋体" w:eastAsia="宋体" w:cs="宋体"/>
          <w:b/>
          <w:bCs w:val="0"/>
          <w:color w:val="auto"/>
          <w:szCs w:val="28"/>
          <w:highlight w:val="none"/>
          <w:lang w:val="zh-CN"/>
        </w:rPr>
        <w:t>备注：本表后附身份证、毕业证书、职称证书、监理工程师注册证书等的复印件。</w:t>
      </w:r>
    </w:p>
    <w:p>
      <w:pPr>
        <w:spacing w:line="500" w:lineRule="exact"/>
        <w:jc w:val="center"/>
        <w:rPr>
          <w:rFonts w:hint="eastAsia" w:ascii="宋体" w:hAnsi="宋体" w:eastAsia="宋体" w:cs="宋体"/>
          <w:b/>
          <w:bCs w:val="0"/>
          <w:color w:val="auto"/>
          <w:szCs w:val="28"/>
          <w:highlight w:val="none"/>
          <w:lang w:val="zh-CN"/>
        </w:rPr>
      </w:pPr>
    </w:p>
    <w:p>
      <w:pPr>
        <w:spacing w:line="500" w:lineRule="exact"/>
        <w:jc w:val="center"/>
        <w:rPr>
          <w:rFonts w:hint="eastAsia" w:ascii="宋体" w:hAnsi="宋体" w:eastAsia="宋体" w:cs="宋体"/>
          <w:b/>
          <w:bCs w:val="0"/>
          <w:color w:val="auto"/>
          <w:szCs w:val="28"/>
          <w:highlight w:val="none"/>
          <w:lang w:val="zh-CN"/>
        </w:rPr>
      </w:pPr>
    </w:p>
    <w:p>
      <w:pPr>
        <w:spacing w:line="500" w:lineRule="exact"/>
        <w:jc w:val="center"/>
        <w:rPr>
          <w:rFonts w:hint="eastAsia" w:ascii="宋体" w:hAnsi="宋体" w:eastAsia="宋体" w:cs="宋体"/>
          <w:b/>
          <w:bCs w:val="0"/>
          <w:color w:val="auto"/>
          <w:szCs w:val="28"/>
          <w:highlight w:val="none"/>
          <w:lang w:val="zh-CN"/>
        </w:rPr>
      </w:pPr>
    </w:p>
    <w:p>
      <w:pPr>
        <w:spacing w:line="500" w:lineRule="exact"/>
        <w:jc w:val="center"/>
        <w:rPr>
          <w:rFonts w:hint="eastAsia" w:ascii="宋体" w:hAnsi="宋体" w:eastAsia="宋体" w:cs="宋体"/>
          <w:b/>
          <w:bCs w:val="0"/>
          <w:color w:val="auto"/>
          <w:szCs w:val="28"/>
          <w:highlight w:val="none"/>
          <w:lang w:val="zh-CN"/>
        </w:rPr>
      </w:pPr>
      <w:r>
        <w:rPr>
          <w:rFonts w:hint="eastAsia" w:ascii="宋体" w:hAnsi="宋体" w:eastAsia="宋体" w:cs="宋体"/>
          <w:b/>
          <w:bCs w:val="0"/>
          <w:color w:val="auto"/>
          <w:szCs w:val="28"/>
          <w:highlight w:val="none"/>
          <w:lang w:val="zh-CN"/>
        </w:rPr>
        <w:t>类似业绩</w:t>
      </w:r>
    </w:p>
    <w:p>
      <w:pPr>
        <w:spacing w:line="500" w:lineRule="exact"/>
        <w:jc w:val="left"/>
        <w:rPr>
          <w:rFonts w:hint="eastAsia" w:ascii="宋体" w:hAnsi="宋体" w:eastAsia="宋体" w:cs="宋体"/>
          <w:b/>
          <w:bCs w:val="0"/>
          <w:color w:val="auto"/>
          <w:szCs w:val="28"/>
          <w:highlight w:val="none"/>
          <w:lang w:val="zh-CN"/>
        </w:rPr>
      </w:pPr>
      <w:r>
        <w:rPr>
          <w:rFonts w:hint="eastAsia" w:ascii="宋体" w:hAnsi="宋体" w:eastAsia="宋体" w:cs="宋体"/>
          <w:color w:val="auto"/>
          <w:szCs w:val="28"/>
          <w:highlight w:val="none"/>
          <w:lang w:val="zh-CN"/>
        </w:rPr>
        <w:t>项目名称：</w:t>
      </w:r>
    </w:p>
    <w:tbl>
      <w:tblPr>
        <w:tblStyle w:val="17"/>
        <w:tblW w:w="86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39"/>
        <w:gridCol w:w="1740"/>
        <w:gridCol w:w="1740"/>
        <w:gridCol w:w="1740"/>
        <w:gridCol w:w="17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trPr>
        <w:tc>
          <w:tcPr>
            <w:tcW w:w="1739" w:type="dxa"/>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业主单位</w:t>
            </w:r>
          </w:p>
        </w:tc>
        <w:tc>
          <w:tcPr>
            <w:tcW w:w="1740" w:type="dxa"/>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项目名称</w:t>
            </w:r>
          </w:p>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及地点</w:t>
            </w:r>
          </w:p>
        </w:tc>
        <w:tc>
          <w:tcPr>
            <w:tcW w:w="1740" w:type="dxa"/>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项目规模</w:t>
            </w:r>
          </w:p>
        </w:tc>
        <w:tc>
          <w:tcPr>
            <w:tcW w:w="1740" w:type="dxa"/>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合同期限</w:t>
            </w:r>
          </w:p>
        </w:tc>
        <w:tc>
          <w:tcPr>
            <w:tcW w:w="1740" w:type="dxa"/>
            <w:noWrap w:val="0"/>
            <w:vAlign w:val="center"/>
          </w:tcPr>
          <w:p>
            <w:pPr>
              <w:adjustRightInd w:val="0"/>
              <w:snapToGrid w:val="0"/>
              <w:jc w:val="center"/>
              <w:rPr>
                <w:rFonts w:hint="eastAsia" w:ascii="宋体" w:hAnsi="宋体" w:eastAsia="宋体" w:cs="宋体"/>
                <w:color w:val="auto"/>
                <w:szCs w:val="28"/>
                <w:highlight w:val="none"/>
                <w:lang w:val="zh-CN"/>
              </w:rPr>
            </w:pPr>
            <w:r>
              <w:rPr>
                <w:rFonts w:hint="eastAsia" w:ascii="宋体" w:hAnsi="宋体" w:eastAsia="宋体" w:cs="宋体"/>
                <w:color w:val="auto"/>
                <w:szCs w:val="28"/>
                <w:highlight w:val="none"/>
                <w:lang w:val="zh-CN"/>
              </w:rPr>
              <w:t>项目负责人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1739"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1739"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1739"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1739"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1739"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1739"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1739"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c>
          <w:tcPr>
            <w:tcW w:w="1740" w:type="dxa"/>
            <w:noWrap w:val="0"/>
            <w:vAlign w:val="top"/>
          </w:tcPr>
          <w:p>
            <w:pPr>
              <w:spacing w:line="500" w:lineRule="exact"/>
              <w:jc w:val="center"/>
              <w:rPr>
                <w:rFonts w:hint="eastAsia" w:ascii="宋体" w:hAnsi="宋体" w:eastAsia="宋体" w:cs="宋体"/>
                <w:b/>
                <w:bCs w:val="0"/>
                <w:color w:val="auto"/>
                <w:szCs w:val="28"/>
                <w:highlight w:val="none"/>
                <w:lang w:val="zh-CN"/>
              </w:rPr>
            </w:pPr>
          </w:p>
        </w:tc>
      </w:tr>
    </w:tbl>
    <w:p>
      <w:pPr>
        <w:spacing w:line="500" w:lineRule="exact"/>
        <w:jc w:val="center"/>
        <w:rPr>
          <w:rFonts w:hint="eastAsia" w:ascii="宋体" w:hAnsi="宋体" w:eastAsia="宋体" w:cs="宋体"/>
          <w:b/>
          <w:bCs w:val="0"/>
          <w:color w:val="auto"/>
          <w:szCs w:val="28"/>
          <w:highlight w:val="none"/>
          <w:lang w:val="zh-CN"/>
        </w:rPr>
      </w:pPr>
    </w:p>
    <w:p>
      <w:pPr>
        <w:spacing w:line="500" w:lineRule="exact"/>
        <w:jc w:val="left"/>
        <w:rPr>
          <w:rFonts w:hint="eastAsia" w:ascii="宋体" w:hAnsi="宋体" w:eastAsia="宋体" w:cs="宋体"/>
          <w:color w:val="auto"/>
          <w:szCs w:val="28"/>
          <w:highlight w:val="none"/>
          <w:lang w:val="zh-CN"/>
        </w:rPr>
      </w:pPr>
    </w:p>
    <w:p>
      <w:pPr>
        <w:spacing w:line="500" w:lineRule="exact"/>
        <w:jc w:val="left"/>
        <w:rPr>
          <w:rFonts w:hint="eastAsia" w:ascii="宋体" w:hAnsi="宋体" w:eastAsia="宋体" w:cs="宋体"/>
          <w:color w:val="auto"/>
          <w:sz w:val="28"/>
          <w:szCs w:val="32"/>
          <w:highlight w:val="none"/>
          <w:lang w:val="zh-CN"/>
        </w:rPr>
      </w:pPr>
      <w:r>
        <w:rPr>
          <w:rFonts w:hint="eastAsia" w:ascii="宋体" w:hAnsi="宋体" w:eastAsia="宋体" w:cs="宋体"/>
          <w:color w:val="auto"/>
          <w:sz w:val="28"/>
          <w:szCs w:val="32"/>
          <w:highlight w:val="none"/>
          <w:lang w:val="zh-CN"/>
        </w:rPr>
        <w:t>磋商供应商（盖章）：</w:t>
      </w:r>
    </w:p>
    <w:p>
      <w:pPr>
        <w:rPr>
          <w:color w:val="auto"/>
          <w:highlight w:val="none"/>
        </w:rPr>
      </w:pPr>
      <w:r>
        <w:rPr>
          <w:rFonts w:hint="eastAsia" w:ascii="宋体" w:hAnsi="宋体" w:eastAsia="宋体" w:cs="宋体"/>
          <w:color w:val="auto"/>
          <w:szCs w:val="28"/>
          <w:highlight w:val="none"/>
          <w:lang w:val="zh-CN"/>
        </w:rPr>
        <w:t>日  期：  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Noto Sans Mono CJK JP Regular">
    <w:altName w:val="Arial"/>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ACA85BD"/>
    <w:multiLevelType w:val="singleLevel"/>
    <w:tmpl w:val="4ACA85BD"/>
    <w:lvl w:ilvl="0" w:tentative="0">
      <w:start w:val="1"/>
      <w:numFmt w:val="decimal"/>
      <w:suff w:val="nothing"/>
      <w:lvlText w:val="（%1）"/>
      <w:lvlJc w:val="left"/>
    </w:lvl>
  </w:abstractNum>
  <w:abstractNum w:abstractNumId="1">
    <w:nsid w:val="7A9636F8"/>
    <w:multiLevelType w:val="singleLevel"/>
    <w:tmpl w:val="7A9636F8"/>
    <w:lvl w:ilvl="0" w:tentative="0">
      <w:start w:val="3"/>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E5YTRlM2RlYjliYTNjYWUzOTc0M2ZiZDg3NjE1ZmIifQ=="/>
  </w:docVars>
  <w:rsids>
    <w:rsidRoot w:val="046654F1"/>
    <w:rsid w:val="00416146"/>
    <w:rsid w:val="00825F58"/>
    <w:rsid w:val="01295CD0"/>
    <w:rsid w:val="0138470B"/>
    <w:rsid w:val="0159301C"/>
    <w:rsid w:val="016025FC"/>
    <w:rsid w:val="0186157E"/>
    <w:rsid w:val="01AF5332"/>
    <w:rsid w:val="022278B2"/>
    <w:rsid w:val="02685C0C"/>
    <w:rsid w:val="02B81FC4"/>
    <w:rsid w:val="030D40BE"/>
    <w:rsid w:val="038720C2"/>
    <w:rsid w:val="03AD58A1"/>
    <w:rsid w:val="03DA48E8"/>
    <w:rsid w:val="03EF37E9"/>
    <w:rsid w:val="03F31A83"/>
    <w:rsid w:val="040556DD"/>
    <w:rsid w:val="04514E8E"/>
    <w:rsid w:val="046654F1"/>
    <w:rsid w:val="04754611"/>
    <w:rsid w:val="047A1CF1"/>
    <w:rsid w:val="051E25B2"/>
    <w:rsid w:val="05CA799C"/>
    <w:rsid w:val="05D45367"/>
    <w:rsid w:val="06147E59"/>
    <w:rsid w:val="06824DC3"/>
    <w:rsid w:val="06CA7310"/>
    <w:rsid w:val="06F93EA5"/>
    <w:rsid w:val="07287718"/>
    <w:rsid w:val="072D404C"/>
    <w:rsid w:val="073C7668"/>
    <w:rsid w:val="07F7358F"/>
    <w:rsid w:val="0800156C"/>
    <w:rsid w:val="08445492"/>
    <w:rsid w:val="08597DA5"/>
    <w:rsid w:val="097A4477"/>
    <w:rsid w:val="09E35B78"/>
    <w:rsid w:val="09F3657D"/>
    <w:rsid w:val="0A5708D0"/>
    <w:rsid w:val="0A6D4281"/>
    <w:rsid w:val="0A854E82"/>
    <w:rsid w:val="0ABE6EDF"/>
    <w:rsid w:val="0B001362"/>
    <w:rsid w:val="0B070AF8"/>
    <w:rsid w:val="0B1526A9"/>
    <w:rsid w:val="0B7E4B3D"/>
    <w:rsid w:val="0B8415DD"/>
    <w:rsid w:val="0B8D0492"/>
    <w:rsid w:val="0BA17A99"/>
    <w:rsid w:val="0C166808"/>
    <w:rsid w:val="0C656D19"/>
    <w:rsid w:val="0C6F7051"/>
    <w:rsid w:val="0CAD2564"/>
    <w:rsid w:val="0D416C46"/>
    <w:rsid w:val="0D935B07"/>
    <w:rsid w:val="0DBF68FD"/>
    <w:rsid w:val="0DC14423"/>
    <w:rsid w:val="0DD742B5"/>
    <w:rsid w:val="0E1B15F2"/>
    <w:rsid w:val="0E772D33"/>
    <w:rsid w:val="0E8042DE"/>
    <w:rsid w:val="0EB21FBD"/>
    <w:rsid w:val="0F0B7106"/>
    <w:rsid w:val="0F563291"/>
    <w:rsid w:val="0F657030"/>
    <w:rsid w:val="0FE91A0F"/>
    <w:rsid w:val="0FF02D9D"/>
    <w:rsid w:val="100F4A39"/>
    <w:rsid w:val="106012F8"/>
    <w:rsid w:val="10C009C2"/>
    <w:rsid w:val="10CA27D9"/>
    <w:rsid w:val="10D0393C"/>
    <w:rsid w:val="11273113"/>
    <w:rsid w:val="11587E99"/>
    <w:rsid w:val="118653FD"/>
    <w:rsid w:val="11B31C24"/>
    <w:rsid w:val="1246139A"/>
    <w:rsid w:val="128B4C60"/>
    <w:rsid w:val="12CC1F89"/>
    <w:rsid w:val="12E61D7B"/>
    <w:rsid w:val="131119A8"/>
    <w:rsid w:val="13313DF9"/>
    <w:rsid w:val="13525685"/>
    <w:rsid w:val="137350BE"/>
    <w:rsid w:val="14634486"/>
    <w:rsid w:val="146D2F7F"/>
    <w:rsid w:val="150A66AF"/>
    <w:rsid w:val="15396844"/>
    <w:rsid w:val="160F6E70"/>
    <w:rsid w:val="162276CA"/>
    <w:rsid w:val="16370866"/>
    <w:rsid w:val="169C347C"/>
    <w:rsid w:val="169D3553"/>
    <w:rsid w:val="16A42B33"/>
    <w:rsid w:val="16A448E1"/>
    <w:rsid w:val="17DE3E23"/>
    <w:rsid w:val="182E0907"/>
    <w:rsid w:val="18574EE7"/>
    <w:rsid w:val="188D7D23"/>
    <w:rsid w:val="1892271A"/>
    <w:rsid w:val="18D26830"/>
    <w:rsid w:val="18FA3A61"/>
    <w:rsid w:val="191373BD"/>
    <w:rsid w:val="19157D18"/>
    <w:rsid w:val="1977398C"/>
    <w:rsid w:val="19792055"/>
    <w:rsid w:val="197A675E"/>
    <w:rsid w:val="1A361CF4"/>
    <w:rsid w:val="1A4E5F33"/>
    <w:rsid w:val="1AA61E8B"/>
    <w:rsid w:val="1AAE25F6"/>
    <w:rsid w:val="1AB03CD5"/>
    <w:rsid w:val="1AC47300"/>
    <w:rsid w:val="1AD25EC1"/>
    <w:rsid w:val="1AEE4754"/>
    <w:rsid w:val="1B4E4B65"/>
    <w:rsid w:val="1B927FCF"/>
    <w:rsid w:val="1BD43722"/>
    <w:rsid w:val="1BF73B39"/>
    <w:rsid w:val="1C0A48CE"/>
    <w:rsid w:val="1C273FEB"/>
    <w:rsid w:val="1C5020B1"/>
    <w:rsid w:val="1C8651B5"/>
    <w:rsid w:val="1CE41C09"/>
    <w:rsid w:val="1D2825FA"/>
    <w:rsid w:val="1D444728"/>
    <w:rsid w:val="1D990F18"/>
    <w:rsid w:val="1D9F5E03"/>
    <w:rsid w:val="1E24123E"/>
    <w:rsid w:val="1E992F94"/>
    <w:rsid w:val="1EB71F55"/>
    <w:rsid w:val="1ED0674A"/>
    <w:rsid w:val="1F841754"/>
    <w:rsid w:val="1F8F25D3"/>
    <w:rsid w:val="1F94638A"/>
    <w:rsid w:val="1FBD17B6"/>
    <w:rsid w:val="208512E0"/>
    <w:rsid w:val="20E34258"/>
    <w:rsid w:val="20FF5536"/>
    <w:rsid w:val="21052421"/>
    <w:rsid w:val="210807F6"/>
    <w:rsid w:val="229F6B74"/>
    <w:rsid w:val="230B7C1A"/>
    <w:rsid w:val="235C0941"/>
    <w:rsid w:val="23632D87"/>
    <w:rsid w:val="23FC3FAF"/>
    <w:rsid w:val="243506CB"/>
    <w:rsid w:val="24835594"/>
    <w:rsid w:val="25B52667"/>
    <w:rsid w:val="25DE12CE"/>
    <w:rsid w:val="2714160F"/>
    <w:rsid w:val="27B64475"/>
    <w:rsid w:val="283E786B"/>
    <w:rsid w:val="28B2052F"/>
    <w:rsid w:val="28E1094B"/>
    <w:rsid w:val="291678C1"/>
    <w:rsid w:val="29252DEA"/>
    <w:rsid w:val="292C0E92"/>
    <w:rsid w:val="296248B4"/>
    <w:rsid w:val="29724879"/>
    <w:rsid w:val="2A270CF5"/>
    <w:rsid w:val="2ABB17C4"/>
    <w:rsid w:val="2ABD4ACF"/>
    <w:rsid w:val="2AC16C7A"/>
    <w:rsid w:val="2ADB19A4"/>
    <w:rsid w:val="2CF6128C"/>
    <w:rsid w:val="2D2C7EC7"/>
    <w:rsid w:val="2D5C2D3E"/>
    <w:rsid w:val="2E6A1DA2"/>
    <w:rsid w:val="2E7966F4"/>
    <w:rsid w:val="2EA3565B"/>
    <w:rsid w:val="2FE708F6"/>
    <w:rsid w:val="307355F9"/>
    <w:rsid w:val="30C776F3"/>
    <w:rsid w:val="30DF13DB"/>
    <w:rsid w:val="31376626"/>
    <w:rsid w:val="31634510"/>
    <w:rsid w:val="317A136A"/>
    <w:rsid w:val="31B10ACC"/>
    <w:rsid w:val="31C00F6A"/>
    <w:rsid w:val="31C83722"/>
    <w:rsid w:val="32492C9E"/>
    <w:rsid w:val="324F79A0"/>
    <w:rsid w:val="328E412E"/>
    <w:rsid w:val="32981347"/>
    <w:rsid w:val="33806FBC"/>
    <w:rsid w:val="33AB32FB"/>
    <w:rsid w:val="33C25149"/>
    <w:rsid w:val="33EA54D4"/>
    <w:rsid w:val="3417310E"/>
    <w:rsid w:val="3482405C"/>
    <w:rsid w:val="34A71D15"/>
    <w:rsid w:val="34F0037A"/>
    <w:rsid w:val="353306E9"/>
    <w:rsid w:val="35544F90"/>
    <w:rsid w:val="359027A9"/>
    <w:rsid w:val="35D17EFF"/>
    <w:rsid w:val="3627310D"/>
    <w:rsid w:val="36315840"/>
    <w:rsid w:val="366C0E45"/>
    <w:rsid w:val="367D06DA"/>
    <w:rsid w:val="36806379"/>
    <w:rsid w:val="370370C2"/>
    <w:rsid w:val="37135440"/>
    <w:rsid w:val="37E24FE2"/>
    <w:rsid w:val="38BF587F"/>
    <w:rsid w:val="390C5A5B"/>
    <w:rsid w:val="394E0C8C"/>
    <w:rsid w:val="39D57107"/>
    <w:rsid w:val="3A281202"/>
    <w:rsid w:val="3A3350F1"/>
    <w:rsid w:val="3AE25855"/>
    <w:rsid w:val="3AEC6C89"/>
    <w:rsid w:val="3B3140E6"/>
    <w:rsid w:val="3BCF2C47"/>
    <w:rsid w:val="3C3D4158"/>
    <w:rsid w:val="3C487C38"/>
    <w:rsid w:val="3C4D6CFE"/>
    <w:rsid w:val="3C5E715D"/>
    <w:rsid w:val="3C6C43E0"/>
    <w:rsid w:val="3CAF1767"/>
    <w:rsid w:val="3CE339CD"/>
    <w:rsid w:val="3D4E0F7F"/>
    <w:rsid w:val="3D564A66"/>
    <w:rsid w:val="3D5F13DF"/>
    <w:rsid w:val="3DD00293"/>
    <w:rsid w:val="3E0F29A2"/>
    <w:rsid w:val="3F1E7077"/>
    <w:rsid w:val="3F556163"/>
    <w:rsid w:val="3FBA6DA0"/>
    <w:rsid w:val="3FD0294C"/>
    <w:rsid w:val="40A8309D"/>
    <w:rsid w:val="40BD2903"/>
    <w:rsid w:val="40C43345"/>
    <w:rsid w:val="41FE3DCE"/>
    <w:rsid w:val="420E6F2F"/>
    <w:rsid w:val="421236D7"/>
    <w:rsid w:val="421A3816"/>
    <w:rsid w:val="42310D57"/>
    <w:rsid w:val="425626C2"/>
    <w:rsid w:val="428F372D"/>
    <w:rsid w:val="42D55C9F"/>
    <w:rsid w:val="42EA1E92"/>
    <w:rsid w:val="4359067E"/>
    <w:rsid w:val="438D69B0"/>
    <w:rsid w:val="43B63CE3"/>
    <w:rsid w:val="43BB2B7F"/>
    <w:rsid w:val="43F40A6A"/>
    <w:rsid w:val="449C669F"/>
    <w:rsid w:val="44A678F3"/>
    <w:rsid w:val="44DF2E05"/>
    <w:rsid w:val="452A0524"/>
    <w:rsid w:val="459B5129"/>
    <w:rsid w:val="467B090B"/>
    <w:rsid w:val="469A5235"/>
    <w:rsid w:val="46ED7A5B"/>
    <w:rsid w:val="46F1384D"/>
    <w:rsid w:val="47124829"/>
    <w:rsid w:val="474F5CEF"/>
    <w:rsid w:val="479C2A6C"/>
    <w:rsid w:val="47A345BE"/>
    <w:rsid w:val="483569C8"/>
    <w:rsid w:val="48427933"/>
    <w:rsid w:val="48480CC1"/>
    <w:rsid w:val="48590DA8"/>
    <w:rsid w:val="48E96F61"/>
    <w:rsid w:val="48FF5FC8"/>
    <w:rsid w:val="49677435"/>
    <w:rsid w:val="496D6C31"/>
    <w:rsid w:val="49703368"/>
    <w:rsid w:val="49D97E23"/>
    <w:rsid w:val="4A0F5F3A"/>
    <w:rsid w:val="4A1946C3"/>
    <w:rsid w:val="4A4831FA"/>
    <w:rsid w:val="4A51400F"/>
    <w:rsid w:val="4AD4683C"/>
    <w:rsid w:val="4B366DFC"/>
    <w:rsid w:val="4B585BB2"/>
    <w:rsid w:val="4BA754D9"/>
    <w:rsid w:val="4BAE6314"/>
    <w:rsid w:val="4BF831CC"/>
    <w:rsid w:val="4BF90C50"/>
    <w:rsid w:val="4C162F74"/>
    <w:rsid w:val="4C965194"/>
    <w:rsid w:val="4CED164A"/>
    <w:rsid w:val="4CF3744D"/>
    <w:rsid w:val="4CF70595"/>
    <w:rsid w:val="4D06300C"/>
    <w:rsid w:val="4D2454F1"/>
    <w:rsid w:val="4D2A6BE7"/>
    <w:rsid w:val="4D353994"/>
    <w:rsid w:val="4D3D0FD3"/>
    <w:rsid w:val="4DBE128B"/>
    <w:rsid w:val="4DD0778F"/>
    <w:rsid w:val="4E9405C5"/>
    <w:rsid w:val="4EB66985"/>
    <w:rsid w:val="4FFA6972"/>
    <w:rsid w:val="500B0465"/>
    <w:rsid w:val="5015592D"/>
    <w:rsid w:val="503618C9"/>
    <w:rsid w:val="50B93271"/>
    <w:rsid w:val="50E023DF"/>
    <w:rsid w:val="511107EA"/>
    <w:rsid w:val="51346287"/>
    <w:rsid w:val="51A056CA"/>
    <w:rsid w:val="51F872B4"/>
    <w:rsid w:val="52021A78"/>
    <w:rsid w:val="53177C0E"/>
    <w:rsid w:val="533B7274"/>
    <w:rsid w:val="53514ECE"/>
    <w:rsid w:val="539B0F57"/>
    <w:rsid w:val="53D578AD"/>
    <w:rsid w:val="54094815"/>
    <w:rsid w:val="544B2528"/>
    <w:rsid w:val="545C3B2A"/>
    <w:rsid w:val="54790B80"/>
    <w:rsid w:val="54C41FF3"/>
    <w:rsid w:val="55A51501"/>
    <w:rsid w:val="55B02FB5"/>
    <w:rsid w:val="55C12D27"/>
    <w:rsid w:val="55CA0F67"/>
    <w:rsid w:val="563B3C13"/>
    <w:rsid w:val="563E1975"/>
    <w:rsid w:val="564204E3"/>
    <w:rsid w:val="566750A7"/>
    <w:rsid w:val="567A57C2"/>
    <w:rsid w:val="57511940"/>
    <w:rsid w:val="57FB365A"/>
    <w:rsid w:val="58823C7B"/>
    <w:rsid w:val="58E95BA9"/>
    <w:rsid w:val="58EE436D"/>
    <w:rsid w:val="59425831"/>
    <w:rsid w:val="59AA0910"/>
    <w:rsid w:val="5B2470A7"/>
    <w:rsid w:val="5B962018"/>
    <w:rsid w:val="5B991421"/>
    <w:rsid w:val="5BD0000C"/>
    <w:rsid w:val="5C5617A7"/>
    <w:rsid w:val="5C8E2CEF"/>
    <w:rsid w:val="5C9A4621"/>
    <w:rsid w:val="5D805FD6"/>
    <w:rsid w:val="5DC0337C"/>
    <w:rsid w:val="5DE12BDE"/>
    <w:rsid w:val="5E604B5F"/>
    <w:rsid w:val="5E951CD4"/>
    <w:rsid w:val="5E9640DD"/>
    <w:rsid w:val="5EAC16A6"/>
    <w:rsid w:val="5F381638"/>
    <w:rsid w:val="5F3D09FC"/>
    <w:rsid w:val="5F4E49B7"/>
    <w:rsid w:val="5F8342F5"/>
    <w:rsid w:val="60031C46"/>
    <w:rsid w:val="60092972"/>
    <w:rsid w:val="604007A4"/>
    <w:rsid w:val="60865314"/>
    <w:rsid w:val="60F15F42"/>
    <w:rsid w:val="6110461A"/>
    <w:rsid w:val="61A82AA5"/>
    <w:rsid w:val="61DB37D2"/>
    <w:rsid w:val="620E2AEE"/>
    <w:rsid w:val="622B34E1"/>
    <w:rsid w:val="627263AA"/>
    <w:rsid w:val="628F5A13"/>
    <w:rsid w:val="631A52DC"/>
    <w:rsid w:val="635022A3"/>
    <w:rsid w:val="64414AEB"/>
    <w:rsid w:val="64630993"/>
    <w:rsid w:val="64676364"/>
    <w:rsid w:val="647E5D3F"/>
    <w:rsid w:val="64BE2886"/>
    <w:rsid w:val="64DE284B"/>
    <w:rsid w:val="659D43C6"/>
    <w:rsid w:val="65A76BCF"/>
    <w:rsid w:val="65C21C5B"/>
    <w:rsid w:val="65F81A1E"/>
    <w:rsid w:val="66677B5D"/>
    <w:rsid w:val="66BA2932"/>
    <w:rsid w:val="66F73E0F"/>
    <w:rsid w:val="670A1B0C"/>
    <w:rsid w:val="67184229"/>
    <w:rsid w:val="680C28E7"/>
    <w:rsid w:val="68566F2E"/>
    <w:rsid w:val="687C07E7"/>
    <w:rsid w:val="68921DB9"/>
    <w:rsid w:val="689A2A1B"/>
    <w:rsid w:val="68E67CE3"/>
    <w:rsid w:val="68EA39A3"/>
    <w:rsid w:val="69A27DD9"/>
    <w:rsid w:val="69A34F85"/>
    <w:rsid w:val="69D07E37"/>
    <w:rsid w:val="6A0505B7"/>
    <w:rsid w:val="6A4A5CB6"/>
    <w:rsid w:val="6A9C6F1F"/>
    <w:rsid w:val="6AAE27AE"/>
    <w:rsid w:val="6AEB755E"/>
    <w:rsid w:val="6B105217"/>
    <w:rsid w:val="6B8005EE"/>
    <w:rsid w:val="6B9A16B0"/>
    <w:rsid w:val="6BF23936"/>
    <w:rsid w:val="6C4973C2"/>
    <w:rsid w:val="6C523D39"/>
    <w:rsid w:val="6C604859"/>
    <w:rsid w:val="6C9F79F9"/>
    <w:rsid w:val="6CD56718"/>
    <w:rsid w:val="6D176D30"/>
    <w:rsid w:val="6D2C0178"/>
    <w:rsid w:val="6D390A55"/>
    <w:rsid w:val="6E21565D"/>
    <w:rsid w:val="6E250BC4"/>
    <w:rsid w:val="6F3715CF"/>
    <w:rsid w:val="6F606690"/>
    <w:rsid w:val="6F9F7863"/>
    <w:rsid w:val="6FDD600F"/>
    <w:rsid w:val="6FDF2796"/>
    <w:rsid w:val="71063344"/>
    <w:rsid w:val="715776FB"/>
    <w:rsid w:val="720930EC"/>
    <w:rsid w:val="72295D41"/>
    <w:rsid w:val="722A12B4"/>
    <w:rsid w:val="72646574"/>
    <w:rsid w:val="72850298"/>
    <w:rsid w:val="73463ECB"/>
    <w:rsid w:val="735A432C"/>
    <w:rsid w:val="73A326C5"/>
    <w:rsid w:val="73A712F4"/>
    <w:rsid w:val="73AD5CF9"/>
    <w:rsid w:val="73AD7AA7"/>
    <w:rsid w:val="73B21561"/>
    <w:rsid w:val="73F77193"/>
    <w:rsid w:val="74130252"/>
    <w:rsid w:val="74BB61F3"/>
    <w:rsid w:val="74E44527"/>
    <w:rsid w:val="754C32EF"/>
    <w:rsid w:val="75B75911"/>
    <w:rsid w:val="75C56159"/>
    <w:rsid w:val="76285B0A"/>
    <w:rsid w:val="768E31AA"/>
    <w:rsid w:val="769865F4"/>
    <w:rsid w:val="76AA29C3"/>
    <w:rsid w:val="76AA60D9"/>
    <w:rsid w:val="76DF3CD0"/>
    <w:rsid w:val="773F65DA"/>
    <w:rsid w:val="777367F2"/>
    <w:rsid w:val="77803368"/>
    <w:rsid w:val="77893C12"/>
    <w:rsid w:val="77AB3422"/>
    <w:rsid w:val="77F536D7"/>
    <w:rsid w:val="790C1713"/>
    <w:rsid w:val="791C3EE4"/>
    <w:rsid w:val="7934482C"/>
    <w:rsid w:val="796830EE"/>
    <w:rsid w:val="79A62023"/>
    <w:rsid w:val="7A2361E7"/>
    <w:rsid w:val="7A342CD0"/>
    <w:rsid w:val="7A48064D"/>
    <w:rsid w:val="7A4A0DF3"/>
    <w:rsid w:val="7A873B8D"/>
    <w:rsid w:val="7B000C67"/>
    <w:rsid w:val="7B494559"/>
    <w:rsid w:val="7B86755B"/>
    <w:rsid w:val="7B8C6B3B"/>
    <w:rsid w:val="7BE61DA8"/>
    <w:rsid w:val="7BF55794"/>
    <w:rsid w:val="7C044F5E"/>
    <w:rsid w:val="7C330D65"/>
    <w:rsid w:val="7C757963"/>
    <w:rsid w:val="7C8D2097"/>
    <w:rsid w:val="7D2F777E"/>
    <w:rsid w:val="7DC205F3"/>
    <w:rsid w:val="7DF42334"/>
    <w:rsid w:val="7E0D60C0"/>
    <w:rsid w:val="7E2C1302"/>
    <w:rsid w:val="7E5E47BF"/>
    <w:rsid w:val="7ED273FB"/>
    <w:rsid w:val="7EF96296"/>
    <w:rsid w:val="7F286B7B"/>
    <w:rsid w:val="7F596D35"/>
    <w:rsid w:val="7F840255"/>
    <w:rsid w:val="7FC55D23"/>
    <w:rsid w:val="7FEE3D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qFormat="1" w:unhideWhenUsed="0" w:uiPriority="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qFormat="1" w:unhideWhenUsed="0"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4"/>
      <w:szCs w:val="22"/>
      <w:lang w:val="en-US" w:eastAsia="zh-CN" w:bidi="ar-SA"/>
    </w:rPr>
  </w:style>
  <w:style w:type="paragraph" w:styleId="8">
    <w:name w:val="heading 1"/>
    <w:basedOn w:val="1"/>
    <w:next w:val="1"/>
    <w:qFormat/>
    <w:uiPriority w:val="0"/>
    <w:pPr>
      <w:keepNext/>
      <w:keepLines/>
      <w:pageBreakBefore/>
      <w:widowControl w:val="0"/>
      <w:spacing w:before="120" w:after="120"/>
      <w:jc w:val="center"/>
      <w:outlineLvl w:val="0"/>
    </w:pPr>
    <w:rPr>
      <w:rFonts w:ascii="宋体" w:hAnsi="宋体"/>
      <w:b/>
      <w:sz w:val="36"/>
      <w:szCs w:val="44"/>
    </w:rPr>
  </w:style>
  <w:style w:type="paragraph" w:styleId="9">
    <w:name w:val="heading 2"/>
    <w:basedOn w:val="1"/>
    <w:next w:val="1"/>
    <w:qFormat/>
    <w:uiPriority w:val="0"/>
    <w:pPr>
      <w:spacing w:before="120" w:after="120" w:line="500" w:lineRule="exact"/>
      <w:contextualSpacing/>
      <w:jc w:val="left"/>
      <w:outlineLvl w:val="1"/>
    </w:pPr>
    <w:rPr>
      <w:rFonts w:ascii="宋体" w:hAnsi="宋体"/>
      <w:b/>
      <w:sz w:val="28"/>
      <w:szCs w:val="28"/>
    </w:rPr>
  </w:style>
  <w:style w:type="character" w:default="1" w:styleId="18">
    <w:name w:val="Default Paragraph Font"/>
    <w:semiHidden/>
    <w:qFormat/>
    <w:uiPriority w:val="0"/>
  </w:style>
  <w:style w:type="table" w:default="1" w:styleId="17">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7"/>
    <w:qFormat/>
    <w:uiPriority w:val="0"/>
    <w:pPr>
      <w:ind w:left="420" w:firstLine="420" w:firstLineChars="200"/>
    </w:pPr>
  </w:style>
  <w:style w:type="paragraph" w:styleId="3">
    <w:name w:val="Body Text Indent"/>
    <w:basedOn w:val="1"/>
    <w:next w:val="4"/>
    <w:qFormat/>
    <w:uiPriority w:val="0"/>
    <w:pPr>
      <w:ind w:firstLine="352" w:firstLineChars="352"/>
    </w:pPr>
    <w:rPr>
      <w:rFonts w:ascii="仿宋_GB2312" w:eastAsia="仿宋_GB2312"/>
      <w:sz w:val="32"/>
      <w:szCs w:val="20"/>
    </w:rPr>
  </w:style>
  <w:style w:type="paragraph" w:styleId="4">
    <w:name w:val="envelope return"/>
    <w:basedOn w:val="1"/>
    <w:next w:val="5"/>
    <w:qFormat/>
    <w:uiPriority w:val="0"/>
    <w:pPr>
      <w:snapToGrid w:val="0"/>
    </w:pPr>
    <w:rPr>
      <w:rFonts w:ascii="Arial" w:hAnsi="Arial"/>
    </w:rPr>
  </w:style>
  <w:style w:type="paragraph" w:styleId="5">
    <w:name w:val="List 5"/>
    <w:basedOn w:val="1"/>
    <w:next w:val="6"/>
    <w:semiHidden/>
    <w:qFormat/>
    <w:uiPriority w:val="0"/>
    <w:pPr>
      <w:widowControl w:val="0"/>
      <w:autoSpaceDE/>
      <w:autoSpaceDN/>
      <w:spacing w:before="0" w:after="0" w:line="360" w:lineRule="auto"/>
      <w:ind w:left="100" w:hanging="200"/>
      <w:jc w:val="both"/>
    </w:pPr>
    <w:rPr>
      <w:rFonts w:ascii="宋体" w:eastAsia="仿宋"/>
      <w:sz w:val="28"/>
    </w:rPr>
  </w:style>
  <w:style w:type="paragraph" w:styleId="6">
    <w:name w:val="List Continue"/>
    <w:basedOn w:val="1"/>
    <w:next w:val="1"/>
    <w:semiHidden/>
    <w:qFormat/>
    <w:uiPriority w:val="0"/>
    <w:pPr>
      <w:widowControl w:val="0"/>
      <w:autoSpaceDE/>
      <w:autoSpaceDN/>
      <w:spacing w:before="0" w:after="120" w:line="360" w:lineRule="auto"/>
      <w:ind w:left="420" w:firstLine="0"/>
      <w:jc w:val="both"/>
    </w:pPr>
    <w:rPr>
      <w:rFonts w:ascii="宋体" w:eastAsia="仿宋"/>
      <w:sz w:val="28"/>
    </w:rPr>
  </w:style>
  <w:style w:type="paragraph" w:styleId="7">
    <w:name w:val="Salutation"/>
    <w:basedOn w:val="1"/>
    <w:next w:val="1"/>
    <w:qFormat/>
    <w:uiPriority w:val="0"/>
    <w:pPr>
      <w:widowControl w:val="0"/>
      <w:autoSpaceDE/>
      <w:autoSpaceDN/>
      <w:spacing w:before="0" w:after="0" w:line="360" w:lineRule="auto"/>
      <w:ind w:left="0" w:firstLine="0"/>
      <w:jc w:val="both"/>
    </w:pPr>
    <w:rPr>
      <w:rFonts w:ascii="宋体" w:eastAsia="仿宋"/>
      <w:sz w:val="24"/>
    </w:rPr>
  </w:style>
  <w:style w:type="paragraph" w:styleId="10">
    <w:name w:val="Normal Indent"/>
    <w:basedOn w:val="1"/>
    <w:qFormat/>
    <w:uiPriority w:val="0"/>
    <w:pPr>
      <w:ind w:firstLine="200" w:firstLineChars="200"/>
    </w:pPr>
  </w:style>
  <w:style w:type="paragraph" w:styleId="11">
    <w:name w:val="Body Text"/>
    <w:basedOn w:val="1"/>
    <w:next w:val="1"/>
    <w:qFormat/>
    <w:uiPriority w:val="0"/>
    <w:pPr>
      <w:spacing w:after="120"/>
    </w:pPr>
    <w:rPr>
      <w:rFonts w:ascii="Calibri" w:hAnsi="Calibri" w:eastAsia="宋体" w:cs="Times New Roman"/>
      <w:szCs w:val="24"/>
      <w:lang w:bidi="ar-SA"/>
    </w:rPr>
  </w:style>
  <w:style w:type="paragraph" w:styleId="12">
    <w:name w:val="Plain Text"/>
    <w:basedOn w:val="1"/>
    <w:qFormat/>
    <w:uiPriority w:val="0"/>
    <w:rPr>
      <w:rFonts w:ascii="宋体"/>
      <w:szCs w:val="21"/>
    </w:rPr>
  </w:style>
  <w:style w:type="paragraph" w:styleId="13">
    <w:name w:val="footer"/>
    <w:basedOn w:val="1"/>
    <w:qFormat/>
    <w:uiPriority w:val="0"/>
    <w:pPr>
      <w:tabs>
        <w:tab w:val="center" w:pos="4153"/>
        <w:tab w:val="right" w:pos="8306"/>
      </w:tabs>
      <w:snapToGrid w:val="0"/>
      <w:jc w:val="left"/>
    </w:pPr>
    <w:rPr>
      <w:sz w:val="18"/>
      <w:szCs w:val="18"/>
    </w:rPr>
  </w:style>
  <w:style w:type="paragraph" w:styleId="14">
    <w:name w:val="toc 1"/>
    <w:basedOn w:val="1"/>
    <w:next w:val="1"/>
    <w:qFormat/>
    <w:uiPriority w:val="0"/>
    <w:pPr>
      <w:adjustRightInd w:val="0"/>
      <w:snapToGrid w:val="0"/>
      <w:ind w:left="1" w:leftChars="1"/>
      <w:textAlignment w:val="top"/>
    </w:pPr>
    <w:rPr>
      <w:b/>
      <w:snapToGrid w:val="0"/>
      <w:kern w:val="0"/>
      <w:sz w:val="28"/>
    </w:rPr>
  </w:style>
  <w:style w:type="paragraph" w:styleId="15">
    <w:name w:val="toc 2"/>
    <w:basedOn w:val="1"/>
    <w:next w:val="1"/>
    <w:qFormat/>
    <w:uiPriority w:val="0"/>
    <w:pPr>
      <w:ind w:left="200" w:leftChars="200"/>
    </w:pPr>
    <w:rPr>
      <w:sz w:val="24"/>
    </w:rPr>
  </w:style>
  <w:style w:type="paragraph" w:styleId="16">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19">
    <w:name w:val="Strong"/>
    <w:basedOn w:val="18"/>
    <w:qFormat/>
    <w:uiPriority w:val="0"/>
  </w:style>
  <w:style w:type="character" w:styleId="20">
    <w:name w:val="FollowedHyperlink"/>
    <w:basedOn w:val="18"/>
    <w:qFormat/>
    <w:uiPriority w:val="0"/>
    <w:rPr>
      <w:color w:val="800080"/>
      <w:u w:val="none"/>
    </w:rPr>
  </w:style>
  <w:style w:type="character" w:styleId="21">
    <w:name w:val="Emphasis"/>
    <w:basedOn w:val="18"/>
    <w:qFormat/>
    <w:uiPriority w:val="0"/>
  </w:style>
  <w:style w:type="character" w:styleId="22">
    <w:name w:val="HTML Definition"/>
    <w:basedOn w:val="18"/>
    <w:qFormat/>
    <w:uiPriority w:val="0"/>
  </w:style>
  <w:style w:type="character" w:styleId="23">
    <w:name w:val="HTML Typewriter"/>
    <w:basedOn w:val="18"/>
    <w:qFormat/>
    <w:uiPriority w:val="0"/>
    <w:rPr>
      <w:rFonts w:hint="default" w:ascii="monospace" w:hAnsi="monospace" w:eastAsia="monospace" w:cs="monospace"/>
      <w:sz w:val="20"/>
    </w:rPr>
  </w:style>
  <w:style w:type="character" w:styleId="24">
    <w:name w:val="HTML Acronym"/>
    <w:basedOn w:val="18"/>
    <w:qFormat/>
    <w:uiPriority w:val="0"/>
  </w:style>
  <w:style w:type="character" w:styleId="25">
    <w:name w:val="HTML Variable"/>
    <w:basedOn w:val="18"/>
    <w:qFormat/>
    <w:uiPriority w:val="0"/>
  </w:style>
  <w:style w:type="character" w:styleId="26">
    <w:name w:val="Hyperlink"/>
    <w:basedOn w:val="18"/>
    <w:qFormat/>
    <w:uiPriority w:val="0"/>
    <w:rPr>
      <w:color w:val="0000FF"/>
      <w:u w:val="none"/>
    </w:rPr>
  </w:style>
  <w:style w:type="character" w:styleId="27">
    <w:name w:val="HTML Code"/>
    <w:basedOn w:val="18"/>
    <w:qFormat/>
    <w:uiPriority w:val="0"/>
    <w:rPr>
      <w:rFonts w:hint="default" w:ascii="monospace" w:hAnsi="monospace" w:eastAsia="monospace" w:cs="monospace"/>
      <w:sz w:val="20"/>
    </w:rPr>
  </w:style>
  <w:style w:type="character" w:styleId="28">
    <w:name w:val="HTML Cite"/>
    <w:basedOn w:val="18"/>
    <w:qFormat/>
    <w:uiPriority w:val="0"/>
  </w:style>
  <w:style w:type="character" w:styleId="29">
    <w:name w:val="HTML Keyboard"/>
    <w:basedOn w:val="18"/>
    <w:qFormat/>
    <w:uiPriority w:val="0"/>
    <w:rPr>
      <w:rFonts w:hint="default" w:ascii="monospace" w:hAnsi="monospace" w:eastAsia="monospace" w:cs="monospace"/>
      <w:sz w:val="20"/>
    </w:rPr>
  </w:style>
  <w:style w:type="character" w:styleId="30">
    <w:name w:val="HTML Sample"/>
    <w:basedOn w:val="18"/>
    <w:qFormat/>
    <w:uiPriority w:val="0"/>
    <w:rPr>
      <w:rFonts w:ascii="monospace" w:hAnsi="monospace" w:eastAsia="monospace" w:cs="monospace"/>
    </w:rPr>
  </w:style>
  <w:style w:type="paragraph" w:customStyle="1" w:styleId="31">
    <w:name w:val="Normal"/>
    <w:qFormat/>
    <w:uiPriority w:val="0"/>
    <w:pPr>
      <w:spacing w:line="384" w:lineRule="auto"/>
    </w:pPr>
    <w:rPr>
      <w:rFonts w:ascii="宋体" w:hAnsi="Times New Roman" w:eastAsia="宋体" w:cs="Times New Roman"/>
      <w:sz w:val="24"/>
      <w:szCs w:val="24"/>
      <w:lang w:val="en-US" w:eastAsia="zh-CN" w:bidi="ar-SA"/>
    </w:rPr>
  </w:style>
  <w:style w:type="paragraph" w:customStyle="1" w:styleId="32">
    <w:name w:val="Table Paragraph"/>
    <w:basedOn w:val="1"/>
    <w:qFormat/>
    <w:uiPriority w:val="99"/>
    <w:pPr>
      <w:autoSpaceDE w:val="0"/>
      <w:autoSpaceDN w:val="0"/>
      <w:jc w:val="left"/>
    </w:pPr>
    <w:rPr>
      <w:rFonts w:ascii="Noto Sans Mono CJK JP Regular" w:hAnsi="Noto Sans Mono CJK JP Regular" w:cs="Noto Sans Mono CJK JP Regular"/>
      <w:kern w:val="0"/>
      <w:sz w:val="22"/>
      <w:szCs w:val="22"/>
      <w:lang w:val="zh-CN"/>
    </w:rPr>
  </w:style>
  <w:style w:type="paragraph" w:customStyle="1" w:styleId="33">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4">
    <w:name w:val="正文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35">
    <w:name w:val="BodyText1I"/>
    <w:basedOn w:val="36"/>
    <w:next w:val="1"/>
    <w:qFormat/>
    <w:uiPriority w:val="0"/>
    <w:pPr>
      <w:tabs>
        <w:tab w:val="left" w:pos="420"/>
      </w:tabs>
      <w:spacing w:after="120"/>
      <w:ind w:firstLine="420" w:firstLineChars="100"/>
      <w:textAlignment w:val="baseline"/>
    </w:pPr>
    <w:rPr>
      <w:rFonts w:ascii="Times New Roman" w:hAnsi="Times New Roman" w:eastAsia="宋体"/>
      <w:sz w:val="21"/>
      <w:szCs w:val="20"/>
      <w:lang w:val="zh-CN" w:eastAsia="zh-CN" w:bidi="zh-CN"/>
    </w:rPr>
  </w:style>
  <w:style w:type="paragraph" w:customStyle="1" w:styleId="36">
    <w:name w:val="BodyText"/>
    <w:basedOn w:val="1"/>
    <w:next w:val="1"/>
    <w:qFormat/>
    <w:uiPriority w:val="0"/>
    <w:pPr>
      <w:textAlignment w:val="baseline"/>
    </w:pPr>
    <w:rPr>
      <w:rFonts w:ascii="宋体" w:hAnsi="宋体" w:eastAsia="宋体"/>
      <w:sz w:val="21"/>
      <w:szCs w:val="21"/>
      <w:lang w:val="zh-CN" w:eastAsia="zh-CN" w:bidi="zh-CN"/>
    </w:rPr>
  </w:style>
  <w:style w:type="paragraph" w:customStyle="1" w:styleId="37">
    <w:name w:val="纯文本_0"/>
    <w:basedOn w:val="38"/>
    <w:qFormat/>
    <w:uiPriority w:val="0"/>
    <w:rPr>
      <w:rFonts w:ascii="宋体"/>
      <w:kern w:val="0"/>
      <w:sz w:val="20"/>
      <w:szCs w:val="21"/>
    </w:rPr>
  </w:style>
  <w:style w:type="paragraph" w:customStyle="1" w:styleId="38">
    <w:name w:val="正文_0_0"/>
    <w:qFormat/>
    <w:uiPriority w:val="0"/>
    <w:pPr>
      <w:widowControl w:val="0"/>
      <w:jc w:val="both"/>
    </w:pPr>
    <w:rPr>
      <w:rFonts w:ascii="Calibri" w:hAnsi="Calibri" w:eastAsia="宋体" w:cs="Times New Roman"/>
      <w:kern w:val="2"/>
      <w:sz w:val="28"/>
      <w:szCs w:val="22"/>
      <w:lang w:val="en-US" w:eastAsia="zh-CN" w:bidi="ar-SA"/>
    </w:rPr>
  </w:style>
  <w:style w:type="character" w:customStyle="1" w:styleId="39">
    <w:name w:val="正文 第五章 中间"/>
    <w:qFormat/>
    <w:uiPriority w:val="0"/>
    <w:rPr>
      <w:b/>
      <w:bCs/>
      <w:color w:val="000000"/>
      <w:sz w:val="32"/>
    </w:rPr>
  </w:style>
  <w:style w:type="paragraph" w:customStyle="1" w:styleId="40">
    <w:name w:val="正文空2格  1."/>
    <w:basedOn w:val="1"/>
    <w:qFormat/>
    <w:uiPriority w:val="0"/>
    <w:pPr>
      <w:adjustRightInd w:val="0"/>
      <w:spacing w:line="360" w:lineRule="auto"/>
      <w:ind w:firstLine="200" w:firstLineChars="200"/>
      <w:textAlignment w:val="baseline"/>
    </w:pPr>
    <w:rPr>
      <w:rFonts w:ascii="宋体" w:hAnsi="宋体" w:eastAsia="仿宋" w:cs="宋体"/>
      <w:kern w:val="0"/>
      <w:sz w:val="28"/>
      <w:szCs w:val="20"/>
      <w:lang w:bidi="ar-SA"/>
    </w:rPr>
  </w:style>
  <w:style w:type="paragraph" w:customStyle="1" w:styleId="41">
    <w:name w:val="正文_0"/>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42">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41</Pages>
  <Words>18053</Words>
  <Characters>18954</Characters>
  <Lines>0</Lines>
  <Paragraphs>0</Paragraphs>
  <TotalTime>10</TotalTime>
  <ScaleCrop>false</ScaleCrop>
  <LinksUpToDate>false</LinksUpToDate>
  <CharactersWithSpaces>19874</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2021-12-10T10:04:00Z</dcterms:created>
  <dc:creator>NTKO</dc:creator>
  <cp:lastModifiedBy>她们叫我陈老师</cp:lastModifiedBy>
  <cp:lastPrinted>2023-09-12T07:08:00Z</cp:lastPrinted>
  <dcterms:modified xsi:type="dcterms:W3CDTF">2023-09-13T08:40:06Z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81AD1F74571A446197250A12782A1116</vt:lpwstr>
  </property>
</Properties>
</file>